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8866E" w14:textId="77777777" w:rsidR="008E5F90" w:rsidRPr="00A9669E" w:rsidRDefault="008E5F90" w:rsidP="008E5F90">
      <w:pPr>
        <w:ind w:firstLine="567"/>
        <w:jc w:val="both"/>
      </w:pPr>
      <w:r w:rsidRPr="00FC6DDA">
        <w:rPr>
          <w:lang w:val="en-US"/>
        </w:rPr>
        <w:t>MRSTI</w:t>
      </w:r>
      <w:r w:rsidRPr="00A9669E">
        <w:t xml:space="preserve"> 06.39.31</w:t>
      </w:r>
    </w:p>
    <w:p w14:paraId="382A060C" w14:textId="77777777" w:rsidR="008E5F90" w:rsidRPr="00A9669E" w:rsidRDefault="008E5F90" w:rsidP="008E5F90">
      <w:pPr>
        <w:ind w:firstLine="567"/>
        <w:jc w:val="both"/>
      </w:pPr>
      <w:r w:rsidRPr="00FC6DDA">
        <w:rPr>
          <w:lang w:val="en-US"/>
        </w:rPr>
        <w:t>JEL</w:t>
      </w:r>
      <w:r w:rsidRPr="00A9669E">
        <w:t xml:space="preserve"> </w:t>
      </w:r>
      <w:r w:rsidRPr="00FC6DDA">
        <w:rPr>
          <w:lang w:val="en-US"/>
        </w:rPr>
        <w:t>O</w:t>
      </w:r>
      <w:r w:rsidRPr="00A9669E">
        <w:t xml:space="preserve">11; </w:t>
      </w:r>
      <w:r w:rsidRPr="00FC6DDA">
        <w:rPr>
          <w:lang w:val="en-US"/>
        </w:rPr>
        <w:t>O</w:t>
      </w:r>
      <w:r w:rsidRPr="00A9669E">
        <w:t xml:space="preserve">21; </w:t>
      </w:r>
      <w:r w:rsidRPr="00FC6DDA">
        <w:rPr>
          <w:lang w:val="en-US"/>
        </w:rPr>
        <w:t>O</w:t>
      </w:r>
      <w:r w:rsidRPr="00A9669E">
        <w:t>40</w:t>
      </w:r>
    </w:p>
    <w:p w14:paraId="36D34A8D" w14:textId="77777777" w:rsidR="008E5F90" w:rsidRDefault="008E5F90" w:rsidP="00575DA0">
      <w:pPr>
        <w:ind w:firstLine="567"/>
        <w:jc w:val="both"/>
        <w:rPr>
          <w:b/>
          <w:bCs/>
        </w:rPr>
      </w:pPr>
    </w:p>
    <w:p w14:paraId="4425528D" w14:textId="36A2A265" w:rsidR="006E5BEB" w:rsidRPr="008E5F90" w:rsidRDefault="006E5BEB" w:rsidP="00914BB2">
      <w:pPr>
        <w:ind w:firstLine="567"/>
        <w:jc w:val="both"/>
      </w:pPr>
    </w:p>
    <w:p w14:paraId="6F5D1CDD" w14:textId="75A4C80E" w:rsidR="00FB3E16" w:rsidRPr="00FC6DDA" w:rsidRDefault="00FB3E16" w:rsidP="00FB3E16">
      <w:pPr>
        <w:ind w:firstLine="567"/>
        <w:jc w:val="both"/>
      </w:pPr>
      <w:r w:rsidRPr="00A9669E">
        <w:rPr>
          <w:b/>
        </w:rPr>
        <w:t>Титков Алексей Анатольевич</w:t>
      </w:r>
      <w:r w:rsidRPr="00FC6DDA">
        <w:t xml:space="preserve">, Торайғыров университеті, 140000, Қазақстан Республикасы, Павлодар қаласы, Ломова көшесі 64, экономика кафедрасының профессоры. E-mail: Alexey-pvl@mail.ru; </w:t>
      </w:r>
      <w:hyperlink r:id="rId7" w:history="1">
        <w:r w:rsidRPr="00FC6DDA">
          <w:rPr>
            <w:rStyle w:val="Hyperlink"/>
            <w:color w:val="auto"/>
            <w:u w:val="none"/>
          </w:rPr>
          <w:t>https://orcid.org/0000-0001-9126-2337</w:t>
        </w:r>
      </w:hyperlink>
    </w:p>
    <w:p w14:paraId="1041237A" w14:textId="030B6123" w:rsidR="00FB3E16" w:rsidRPr="00FC6DDA" w:rsidRDefault="00FB3E16" w:rsidP="00FB3E16">
      <w:pPr>
        <w:ind w:firstLine="567"/>
        <w:jc w:val="both"/>
        <w:rPr>
          <w:lang w:val="en-US"/>
        </w:rPr>
      </w:pPr>
      <w:r w:rsidRPr="00A9669E">
        <w:rPr>
          <w:b/>
        </w:rPr>
        <w:t>Ибраимова Сәуле Жұмағалиқызы</w:t>
      </w:r>
      <w:r w:rsidRPr="00FC6DDA">
        <w:t xml:space="preserve">, Қазақ Технологиялар және Бизнес Университеті, 010000, Қазақстан Республикасы, Нұр-Сұлтан қаласы, көш. Қайым Мұхамедханова, 37 А ғимарат, экономика, есеп және аудит кафедрасының профессоры. </w:t>
      </w:r>
      <w:r w:rsidRPr="00FC6DDA">
        <w:rPr>
          <w:lang w:val="en-US"/>
        </w:rPr>
        <w:t xml:space="preserve">E-mail: saule_ibraimova_kz@mail.ru; </w:t>
      </w:r>
      <w:hyperlink r:id="rId8" w:history="1">
        <w:r w:rsidRPr="00FC6DDA">
          <w:rPr>
            <w:rStyle w:val="Hyperlink"/>
            <w:color w:val="auto"/>
            <w:u w:val="none"/>
            <w:lang w:val="en-US"/>
          </w:rPr>
          <w:t>https://orcid.org/0000-0001-6506-2446</w:t>
        </w:r>
      </w:hyperlink>
    </w:p>
    <w:p w14:paraId="3437DB58" w14:textId="45982AE3" w:rsidR="00FB3E16" w:rsidRPr="00FC6DDA" w:rsidRDefault="00FB3E16" w:rsidP="00FB3E16">
      <w:pPr>
        <w:ind w:firstLine="567"/>
        <w:jc w:val="both"/>
      </w:pPr>
      <w:r w:rsidRPr="00A9669E">
        <w:rPr>
          <w:b/>
        </w:rPr>
        <w:t>Бегентаев Мейрам Мұхаметрахимұлы</w:t>
      </w:r>
      <w:r w:rsidRPr="00FC6DDA">
        <w:t xml:space="preserve">, Торайғыров университеті, 140000, Қазақстан Республикасы, Павлодар қ., Ломова көшесі 64, экономика кафедрасының профессоры. E-mail: begentaev_meiram@mail.ru; </w:t>
      </w:r>
      <w:hyperlink r:id="rId9" w:history="1">
        <w:r w:rsidRPr="00FC6DDA">
          <w:rPr>
            <w:rStyle w:val="Hyperlink"/>
            <w:color w:val="auto"/>
            <w:u w:val="none"/>
          </w:rPr>
          <w:t>https://orcid.org/0000-0001-9688-4370</w:t>
        </w:r>
      </w:hyperlink>
    </w:p>
    <w:p w14:paraId="127DF11F" w14:textId="416E836E" w:rsidR="00FB3E16" w:rsidRPr="00FC6DDA" w:rsidRDefault="00FB3E16" w:rsidP="00FB3E16">
      <w:pPr>
        <w:ind w:firstLine="567"/>
        <w:jc w:val="both"/>
        <w:rPr>
          <w:rFonts w:ascii="Helvetica" w:hAnsi="Helvetica"/>
          <w:sz w:val="27"/>
          <w:szCs w:val="27"/>
          <w:shd w:val="clear" w:color="auto" w:fill="F5F5F5"/>
        </w:rPr>
      </w:pPr>
      <w:r w:rsidRPr="00A9669E">
        <w:rPr>
          <w:b/>
        </w:rPr>
        <w:t>Кунязова Сәуле Қайырбекқызы</w:t>
      </w:r>
      <w:r w:rsidRPr="00FC6DDA">
        <w:t xml:space="preserve">, Торайғыров университеті, 140000, Қазақстан Республикасы, Павлодар қаласы, Ломова көшесі 64, экономика кафедрасының профессоры. </w:t>
      </w:r>
      <w:r w:rsidRPr="00FC6DDA">
        <w:rPr>
          <w:lang w:val="en-US"/>
        </w:rPr>
        <w:t>E</w:t>
      </w:r>
      <w:r w:rsidRPr="00FC6DDA">
        <w:t>-</w:t>
      </w:r>
      <w:r w:rsidRPr="00FC6DDA">
        <w:rPr>
          <w:lang w:val="en-US"/>
        </w:rPr>
        <w:t>mail</w:t>
      </w:r>
      <w:r w:rsidRPr="00FC6DDA">
        <w:t xml:space="preserve">: kunjazovas@mail.ru; </w:t>
      </w:r>
      <w:hyperlink r:id="rId10" w:history="1">
        <w:r w:rsidRPr="00FC6DDA">
          <w:rPr>
            <w:rStyle w:val="Hyperlink"/>
            <w:color w:val="auto"/>
            <w:u w:val="none"/>
          </w:rPr>
          <w:t>https://orcid.org/0000-0002-5538-5839</w:t>
        </w:r>
      </w:hyperlink>
    </w:p>
    <w:p w14:paraId="18AB2C78" w14:textId="77777777" w:rsidR="00FB3E16" w:rsidRPr="00FC6DDA" w:rsidRDefault="00FB3E16" w:rsidP="00BD2228">
      <w:pPr>
        <w:ind w:firstLine="567"/>
        <w:jc w:val="both"/>
      </w:pPr>
    </w:p>
    <w:p w14:paraId="11454AEA" w14:textId="77777777" w:rsidR="00FB3E16" w:rsidRPr="00FC6DDA" w:rsidRDefault="00FB3E16" w:rsidP="00FB3E16">
      <w:pPr>
        <w:widowControl w:val="0"/>
        <w:ind w:firstLine="567"/>
        <w:jc w:val="both"/>
      </w:pPr>
      <w:r w:rsidRPr="00FC6DDA">
        <w:t xml:space="preserve">Титков Алексей Анатольевич, Торайгыров университет, 140000, Республика Казахстан, город Павлодар, улица Ломова 64, профессор кафедры «Экономика». </w:t>
      </w:r>
      <w:r w:rsidRPr="00FC6DDA">
        <w:rPr>
          <w:lang w:val="en-US"/>
        </w:rPr>
        <w:t>E</w:t>
      </w:r>
      <w:r w:rsidRPr="00FC6DDA">
        <w:t>-</w:t>
      </w:r>
      <w:r w:rsidRPr="00FC6DDA">
        <w:rPr>
          <w:lang w:val="en-US"/>
        </w:rPr>
        <w:t>mail</w:t>
      </w:r>
      <w:r w:rsidRPr="00FC6DDA">
        <w:t xml:space="preserve">: </w:t>
      </w:r>
      <w:hyperlink r:id="rId11" w:history="1">
        <w:r w:rsidRPr="00FC6DDA">
          <w:rPr>
            <w:rStyle w:val="Hyperlink"/>
            <w:color w:val="auto"/>
            <w:u w:val="none"/>
            <w:lang w:val="en-US"/>
          </w:rPr>
          <w:t>Alexey</w:t>
        </w:r>
        <w:r w:rsidRPr="00FC6DDA">
          <w:rPr>
            <w:rStyle w:val="Hyperlink"/>
            <w:color w:val="auto"/>
            <w:u w:val="none"/>
          </w:rPr>
          <w:t>-</w:t>
        </w:r>
        <w:r w:rsidRPr="00FC6DDA">
          <w:rPr>
            <w:rStyle w:val="Hyperlink"/>
            <w:color w:val="auto"/>
            <w:u w:val="none"/>
            <w:lang w:val="en-US"/>
          </w:rPr>
          <w:t>pvl</w:t>
        </w:r>
        <w:r w:rsidRPr="00FC6DDA">
          <w:rPr>
            <w:rStyle w:val="Hyperlink"/>
            <w:color w:val="auto"/>
            <w:u w:val="none"/>
          </w:rPr>
          <w:t>@</w:t>
        </w:r>
        <w:r w:rsidRPr="00FC6DDA">
          <w:rPr>
            <w:rStyle w:val="Hyperlink"/>
            <w:color w:val="auto"/>
            <w:u w:val="none"/>
            <w:lang w:val="en-US"/>
          </w:rPr>
          <w:t>mail</w:t>
        </w:r>
        <w:r w:rsidRPr="00FC6DDA">
          <w:rPr>
            <w:rStyle w:val="Hyperlink"/>
            <w:color w:val="auto"/>
            <w:u w:val="none"/>
          </w:rPr>
          <w:t>.</w:t>
        </w:r>
        <w:r w:rsidRPr="00FC6DDA">
          <w:rPr>
            <w:rStyle w:val="Hyperlink"/>
            <w:color w:val="auto"/>
            <w:u w:val="none"/>
            <w:lang w:val="en-US"/>
          </w:rPr>
          <w:t>ru</w:t>
        </w:r>
      </w:hyperlink>
      <w:r w:rsidRPr="00FC6DDA">
        <w:t xml:space="preserve">; </w:t>
      </w:r>
      <w:hyperlink r:id="rId12" w:history="1">
        <w:r w:rsidRPr="00FC6DDA">
          <w:rPr>
            <w:rStyle w:val="Hyperlink"/>
            <w:color w:val="auto"/>
            <w:u w:val="none"/>
          </w:rPr>
          <w:t>https://orcid.org/0000-0001-9126-2337</w:t>
        </w:r>
      </w:hyperlink>
    </w:p>
    <w:p w14:paraId="2A57ADFA" w14:textId="77777777" w:rsidR="00FB3E16" w:rsidRPr="00FC6DDA" w:rsidRDefault="00FB3E16" w:rsidP="00FB3E16">
      <w:pPr>
        <w:widowControl w:val="0"/>
        <w:ind w:firstLine="567"/>
        <w:jc w:val="both"/>
        <w:rPr>
          <w:shd w:val="clear" w:color="auto" w:fill="FFFFFF"/>
          <w:lang w:val="en-US"/>
        </w:rPr>
      </w:pPr>
      <w:r w:rsidRPr="00FC6DDA">
        <w:t xml:space="preserve">Ибраимова Сауле Жумагалиевна, Казахский университет технологии и бизнеса, 010000, Республика Казахстан, город Нур-Султан, ул. Кайым Мухамедханова, здание 37 А, профессор кафедры «Экономика, учет и аудит». </w:t>
      </w:r>
      <w:r w:rsidRPr="00FC6DDA">
        <w:rPr>
          <w:lang w:val="en-US"/>
        </w:rPr>
        <w:t xml:space="preserve">E-mail: </w:t>
      </w:r>
      <w:hyperlink r:id="rId13" w:history="1">
        <w:r w:rsidRPr="00FC6DDA">
          <w:rPr>
            <w:rStyle w:val="Hyperlink"/>
            <w:color w:val="auto"/>
            <w:u w:val="none"/>
            <w:lang w:val="en-US"/>
          </w:rPr>
          <w:t>saule_ibraimova_kz@mail.ru</w:t>
        </w:r>
      </w:hyperlink>
      <w:r w:rsidRPr="00FC6DDA">
        <w:rPr>
          <w:lang w:val="en-US"/>
        </w:rPr>
        <w:t xml:space="preserve">; </w:t>
      </w:r>
      <w:hyperlink r:id="rId14" w:history="1">
        <w:r w:rsidRPr="00FC6DDA">
          <w:rPr>
            <w:rStyle w:val="Hyperlink"/>
            <w:color w:val="auto"/>
            <w:u w:val="none"/>
            <w:lang w:val="en-US"/>
          </w:rPr>
          <w:t>https://orcid.org/</w:t>
        </w:r>
        <w:r w:rsidRPr="00FC6DDA">
          <w:rPr>
            <w:rStyle w:val="Hyperlink"/>
            <w:color w:val="auto"/>
            <w:u w:val="none"/>
            <w:shd w:val="clear" w:color="auto" w:fill="FFFFFF"/>
            <w:lang w:val="en-US"/>
          </w:rPr>
          <w:t>0000-0001-6506-2446</w:t>
        </w:r>
      </w:hyperlink>
    </w:p>
    <w:p w14:paraId="00BA27CA" w14:textId="77777777" w:rsidR="00FB3E16" w:rsidRPr="00FC6DDA" w:rsidRDefault="00FB3E16" w:rsidP="00FB3E16">
      <w:pPr>
        <w:widowControl w:val="0"/>
        <w:ind w:firstLine="567"/>
        <w:jc w:val="both"/>
      </w:pPr>
      <w:r w:rsidRPr="00FC6DDA">
        <w:t xml:space="preserve">Бегентаев Мейрам Мухаметрахимович, Торайгыров университет, 140000, Республика Казахстан, город Павлодар, улица Ломова 64, профессор кафедры «ЭкономикА». E-mail: </w:t>
      </w:r>
      <w:hyperlink r:id="rId15" w:history="1">
        <w:r w:rsidRPr="00FC6DDA">
          <w:rPr>
            <w:rStyle w:val="Hyperlink"/>
            <w:color w:val="auto"/>
            <w:u w:val="none"/>
          </w:rPr>
          <w:t>begentaev_meiram@mail.ru</w:t>
        </w:r>
      </w:hyperlink>
      <w:r w:rsidRPr="00FC6DDA">
        <w:t xml:space="preserve">; </w:t>
      </w:r>
      <w:hyperlink r:id="rId16" w:tgtFrame="_blank" w:history="1">
        <w:r w:rsidRPr="00FC6DDA">
          <w:rPr>
            <w:rStyle w:val="Hyperlink"/>
            <w:color w:val="auto"/>
            <w:u w:val="none"/>
          </w:rPr>
          <w:t>https://orcid.org/0000-0001-9688-4370</w:t>
        </w:r>
      </w:hyperlink>
    </w:p>
    <w:p w14:paraId="00952D4E" w14:textId="77777777" w:rsidR="00FB3E16" w:rsidRPr="00FC6DDA" w:rsidRDefault="00FB3E16" w:rsidP="00FB3E16">
      <w:pPr>
        <w:widowControl w:val="0"/>
        <w:ind w:firstLine="567"/>
        <w:jc w:val="both"/>
        <w:rPr>
          <w:lang w:val="en-US"/>
        </w:rPr>
      </w:pPr>
      <w:r w:rsidRPr="00FC6DDA">
        <w:t xml:space="preserve">Кунязова Сауле Каирбековна, Торайгыров университет, 140000, Республика Казахстан, город Павлодар, улица Ломова 64, профессор кафедры «Экономика». </w:t>
      </w:r>
      <w:r w:rsidRPr="00FC6DDA">
        <w:rPr>
          <w:lang w:val="en-US"/>
        </w:rPr>
        <w:t xml:space="preserve">E-mail: kunjazovas@mail.ru; </w:t>
      </w:r>
      <w:hyperlink r:id="rId17" w:history="1">
        <w:r w:rsidRPr="00FC6DDA">
          <w:rPr>
            <w:rStyle w:val="Hyperlink"/>
            <w:color w:val="auto"/>
            <w:u w:val="none"/>
            <w:lang w:val="en-US"/>
          </w:rPr>
          <w:t>https://orcid.org/0000-0002-5538-5839</w:t>
        </w:r>
      </w:hyperlink>
    </w:p>
    <w:p w14:paraId="47F50029" w14:textId="77777777" w:rsidR="00381D90" w:rsidRPr="00FC6DDA" w:rsidRDefault="00381D90" w:rsidP="00BD2228">
      <w:pPr>
        <w:ind w:firstLine="567"/>
        <w:jc w:val="both"/>
        <w:rPr>
          <w:lang w:val="en-US"/>
        </w:rPr>
      </w:pPr>
    </w:p>
    <w:p w14:paraId="613DA2AD" w14:textId="09C43A15" w:rsidR="00BD2228" w:rsidRPr="00FC6DDA" w:rsidRDefault="00F25AA8" w:rsidP="00BD2228">
      <w:pPr>
        <w:ind w:firstLine="567"/>
        <w:jc w:val="both"/>
        <w:rPr>
          <w:lang w:val="en-US"/>
        </w:rPr>
      </w:pPr>
      <w:r w:rsidRPr="00FC6DDA">
        <w:rPr>
          <w:lang w:val="en-US"/>
        </w:rPr>
        <w:t>Titkov Alexey Anatolyevich, Toraighyrov University, 140000, Republic of Kazakhstan, Pavlodar city, Lomova street 64, professor of the Department of Economics</w:t>
      </w:r>
      <w:r w:rsidR="00BD2228" w:rsidRPr="00FC6DDA">
        <w:rPr>
          <w:lang w:val="en-US"/>
        </w:rPr>
        <w:t xml:space="preserve">. E-mail: </w:t>
      </w:r>
      <w:hyperlink r:id="rId18" w:history="1">
        <w:r w:rsidR="00BD2228" w:rsidRPr="00FC6DDA">
          <w:rPr>
            <w:rStyle w:val="Hyperlink"/>
            <w:color w:val="auto"/>
            <w:u w:val="none"/>
            <w:lang w:val="en-US"/>
          </w:rPr>
          <w:t>Alexey-pvl@mail.ru</w:t>
        </w:r>
      </w:hyperlink>
      <w:r w:rsidR="00BD2228" w:rsidRPr="00FC6DDA">
        <w:rPr>
          <w:lang w:val="en-US"/>
        </w:rPr>
        <w:t xml:space="preserve">; </w:t>
      </w:r>
      <w:hyperlink r:id="rId19" w:history="1">
        <w:r w:rsidR="00600FA4" w:rsidRPr="00FC6DDA">
          <w:rPr>
            <w:rStyle w:val="Hyperlink"/>
            <w:color w:val="auto"/>
            <w:u w:val="none"/>
            <w:lang w:val="en-US"/>
          </w:rPr>
          <w:t>https://orcid.org/0000-0001-9126-2337</w:t>
        </w:r>
      </w:hyperlink>
    </w:p>
    <w:p w14:paraId="7920F0CF" w14:textId="3A954BAB" w:rsidR="00BD2228" w:rsidRPr="00FC6DDA" w:rsidRDefault="00F25AA8" w:rsidP="0099229D">
      <w:pPr>
        <w:widowControl w:val="0"/>
        <w:ind w:firstLine="567"/>
        <w:jc w:val="both"/>
        <w:rPr>
          <w:shd w:val="clear" w:color="auto" w:fill="FFFFFF"/>
          <w:lang w:val="en-US"/>
        </w:rPr>
      </w:pPr>
      <w:r w:rsidRPr="00FC6DDA">
        <w:rPr>
          <w:lang w:val="en-US"/>
        </w:rPr>
        <w:t xml:space="preserve">Ibraimova Saule Zhumagalievna, </w:t>
      </w:r>
      <w:r w:rsidR="0099229D" w:rsidRPr="00FC6DDA">
        <w:rPr>
          <w:lang w:val="en-US"/>
        </w:rPr>
        <w:t>Kazakh University of Technology and Business, 010000, Republic of Kazakhstan, Nur-Sultan city, st.</w:t>
      </w:r>
      <w:r w:rsidR="0099229D" w:rsidRPr="00FC6DDA">
        <w:rPr>
          <w:shd w:val="clear" w:color="auto" w:fill="F5F5F5"/>
          <w:lang w:val="en-US"/>
        </w:rPr>
        <w:t xml:space="preserve"> </w:t>
      </w:r>
      <w:r w:rsidR="0099229D" w:rsidRPr="00FC6DDA">
        <w:rPr>
          <w:lang w:val="en-US"/>
        </w:rPr>
        <w:t xml:space="preserve">Kayim Mukhamedkhanova, building 37 A, Professor of the Department of Economics, Accounting and Auditing. </w:t>
      </w:r>
      <w:r w:rsidR="00BD2228" w:rsidRPr="00FC6DDA">
        <w:rPr>
          <w:lang w:val="en-US"/>
        </w:rPr>
        <w:t xml:space="preserve">E-mail: </w:t>
      </w:r>
      <w:hyperlink r:id="rId20" w:history="1">
        <w:r w:rsidR="00F9163C" w:rsidRPr="00FC6DDA">
          <w:rPr>
            <w:rStyle w:val="Hyperlink"/>
            <w:color w:val="auto"/>
            <w:u w:val="none"/>
            <w:lang w:val="en-US"/>
          </w:rPr>
          <w:t>saule_ibraimova_kz@mail.ru</w:t>
        </w:r>
      </w:hyperlink>
      <w:r w:rsidR="00BD2228" w:rsidRPr="00FC6DDA">
        <w:rPr>
          <w:lang w:val="en-US"/>
        </w:rPr>
        <w:t xml:space="preserve">; </w:t>
      </w:r>
      <w:hyperlink r:id="rId21" w:history="1">
        <w:r w:rsidR="00195F49" w:rsidRPr="00FC6DDA">
          <w:rPr>
            <w:rStyle w:val="Hyperlink"/>
            <w:color w:val="auto"/>
            <w:u w:val="none"/>
            <w:lang w:val="en-US"/>
          </w:rPr>
          <w:t>https://orcid.org/</w:t>
        </w:r>
        <w:r w:rsidR="00195F49" w:rsidRPr="00FC6DDA">
          <w:rPr>
            <w:rStyle w:val="Hyperlink"/>
            <w:color w:val="auto"/>
            <w:u w:val="none"/>
            <w:shd w:val="clear" w:color="auto" w:fill="FFFFFF"/>
            <w:lang w:val="en-US"/>
          </w:rPr>
          <w:t>0000-0001-6506-2446</w:t>
        </w:r>
      </w:hyperlink>
    </w:p>
    <w:p w14:paraId="435AD75E" w14:textId="32A07B6E" w:rsidR="00AC42C1" w:rsidRPr="00FC6DDA" w:rsidRDefault="00F25AA8" w:rsidP="00AC42C1">
      <w:pPr>
        <w:ind w:firstLine="567"/>
        <w:jc w:val="both"/>
        <w:rPr>
          <w:lang w:val="en-US"/>
        </w:rPr>
      </w:pPr>
      <w:r w:rsidRPr="00FC6DDA">
        <w:rPr>
          <w:lang w:val="en-US"/>
        </w:rPr>
        <w:t>Begenta</w:t>
      </w:r>
      <w:r w:rsidR="00E05573" w:rsidRPr="00FC6DDA">
        <w:rPr>
          <w:lang w:val="en-US"/>
        </w:rPr>
        <w:t>y</w:t>
      </w:r>
      <w:r w:rsidRPr="00FC6DDA">
        <w:rPr>
          <w:lang w:val="en-US"/>
        </w:rPr>
        <w:t>ev Meiram Mukhametrakhimovich, Toraighyrov University, 140000, Republic of Kazakhstan, Pavlodar city, Lomova street 64, professor of the Department of Economics</w:t>
      </w:r>
      <w:r w:rsidR="00BD2228" w:rsidRPr="00FC6DDA">
        <w:rPr>
          <w:lang w:val="en-US"/>
        </w:rPr>
        <w:t xml:space="preserve">. E-mail: </w:t>
      </w:r>
      <w:hyperlink r:id="rId22" w:history="1">
        <w:r w:rsidR="00BD2228" w:rsidRPr="00FC6DDA">
          <w:rPr>
            <w:rStyle w:val="Hyperlink"/>
            <w:color w:val="auto"/>
            <w:u w:val="none"/>
            <w:lang w:val="en-US"/>
          </w:rPr>
          <w:t>begentaev_meiram@mail.ru</w:t>
        </w:r>
      </w:hyperlink>
      <w:r w:rsidR="00BD2228" w:rsidRPr="00FC6DDA">
        <w:rPr>
          <w:lang w:val="en-US"/>
        </w:rPr>
        <w:t xml:space="preserve">; </w:t>
      </w:r>
      <w:hyperlink r:id="rId23" w:history="1">
        <w:r w:rsidR="00600FA4" w:rsidRPr="00FC6DDA">
          <w:rPr>
            <w:rStyle w:val="Hyperlink"/>
            <w:color w:val="auto"/>
            <w:u w:val="none"/>
            <w:lang w:val="en-US"/>
          </w:rPr>
          <w:t>https://orcid.org/0000-0001-9688-4370</w:t>
        </w:r>
      </w:hyperlink>
    </w:p>
    <w:p w14:paraId="7C15815A" w14:textId="38562D9F" w:rsidR="00EC34BC" w:rsidRPr="00FC6DDA" w:rsidRDefault="00F25AA8" w:rsidP="00EC34BC">
      <w:pPr>
        <w:ind w:firstLine="567"/>
        <w:jc w:val="both"/>
        <w:rPr>
          <w:lang w:val="en-US"/>
        </w:rPr>
      </w:pPr>
      <w:r w:rsidRPr="00FC6DDA">
        <w:rPr>
          <w:lang w:val="en-US"/>
        </w:rPr>
        <w:t>Kunyazova Saule Kairbekovna, Toraighyrov University, 140000, Republic of Kazakhstan, Pavlodar city, Lomova street 64, professor of the Department of Economics</w:t>
      </w:r>
      <w:r w:rsidR="00EC34BC" w:rsidRPr="00FC6DDA">
        <w:rPr>
          <w:lang w:val="en-US"/>
        </w:rPr>
        <w:t xml:space="preserve">. E-mail: kunjazovas@mail.ru; </w:t>
      </w:r>
      <w:hyperlink r:id="rId24" w:history="1">
        <w:r w:rsidR="00600FA4" w:rsidRPr="00FC6DDA">
          <w:rPr>
            <w:rStyle w:val="Hyperlink"/>
            <w:color w:val="auto"/>
            <w:u w:val="none"/>
            <w:lang w:val="en-US"/>
          </w:rPr>
          <w:t>https://orcid.org/0000-0002-5538-5839</w:t>
        </w:r>
      </w:hyperlink>
    </w:p>
    <w:p w14:paraId="7AE84754" w14:textId="77777777" w:rsidR="00600FA4" w:rsidRPr="00FC6DDA" w:rsidRDefault="00600FA4" w:rsidP="00EC34BC">
      <w:pPr>
        <w:ind w:firstLine="567"/>
        <w:jc w:val="both"/>
        <w:rPr>
          <w:lang w:val="en-US"/>
        </w:rPr>
      </w:pPr>
    </w:p>
    <w:p w14:paraId="0C5E472B" w14:textId="32AD2846" w:rsidR="00E60E2F" w:rsidRDefault="00E60E2F" w:rsidP="00914BB2">
      <w:pPr>
        <w:ind w:firstLine="567"/>
        <w:jc w:val="both"/>
        <w:rPr>
          <w:lang w:val="en-US"/>
        </w:rPr>
      </w:pPr>
    </w:p>
    <w:p w14:paraId="37EEE590" w14:textId="62E9A0E0" w:rsidR="00EF6F4D" w:rsidRDefault="00EF6F4D" w:rsidP="00914BB2">
      <w:pPr>
        <w:ind w:firstLine="567"/>
        <w:jc w:val="both"/>
        <w:rPr>
          <w:lang w:val="en-US"/>
        </w:rPr>
      </w:pPr>
    </w:p>
    <w:p w14:paraId="37CD89DE" w14:textId="632ED0FA" w:rsidR="00EF6F4D" w:rsidRDefault="00EF6F4D" w:rsidP="00914BB2">
      <w:pPr>
        <w:ind w:firstLine="567"/>
        <w:jc w:val="both"/>
        <w:rPr>
          <w:lang w:val="en-US"/>
        </w:rPr>
      </w:pPr>
    </w:p>
    <w:p w14:paraId="16140407" w14:textId="77777777" w:rsidR="00EF6F4D" w:rsidRPr="00FC6DDA" w:rsidRDefault="00EF6F4D" w:rsidP="00914BB2">
      <w:pPr>
        <w:ind w:firstLine="567"/>
        <w:jc w:val="both"/>
        <w:rPr>
          <w:lang w:val="en-US"/>
        </w:rPr>
      </w:pPr>
    </w:p>
    <w:p w14:paraId="6E6E4432" w14:textId="77777777" w:rsidR="004A09D2" w:rsidRPr="00A9669E" w:rsidRDefault="004A09D2" w:rsidP="001E4EF5">
      <w:pPr>
        <w:ind w:firstLine="567"/>
        <w:jc w:val="both"/>
        <w:rPr>
          <w:lang w:val="en-GB"/>
        </w:rPr>
      </w:pPr>
    </w:p>
    <w:p w14:paraId="41222122" w14:textId="77777777" w:rsidR="008E5F90" w:rsidRPr="00FC6DDA" w:rsidRDefault="008E5F90" w:rsidP="008E5F90">
      <w:pPr>
        <w:ind w:firstLine="567"/>
        <w:jc w:val="both"/>
        <w:rPr>
          <w:b/>
          <w:bCs/>
          <w:lang w:val="en-US"/>
        </w:rPr>
      </w:pPr>
      <w:r w:rsidRPr="00FC6DDA">
        <w:rPr>
          <w:b/>
          <w:bCs/>
          <w:lang w:val="en-US"/>
        </w:rPr>
        <w:lastRenderedPageBreak/>
        <w:t>The current economic state of the tourism industry of Pavlodar region and the assessment of strategic investments in its development</w:t>
      </w:r>
      <w:r w:rsidRPr="00FC6DDA">
        <w:rPr>
          <w:rFonts w:ascii="Helvetica" w:hAnsi="Helvetica"/>
          <w:b/>
          <w:bCs/>
          <w:sz w:val="27"/>
          <w:szCs w:val="27"/>
          <w:shd w:val="clear" w:color="auto" w:fill="F5F5F5"/>
          <w:lang w:val="en-US"/>
        </w:rPr>
        <w:t xml:space="preserve"> </w:t>
      </w:r>
    </w:p>
    <w:p w14:paraId="4ABC62E4" w14:textId="5AF0C57F" w:rsidR="00C547B8" w:rsidRPr="00D96BC0" w:rsidRDefault="00F6235F" w:rsidP="00914BB2">
      <w:pPr>
        <w:ind w:firstLine="567"/>
        <w:jc w:val="both"/>
        <w:rPr>
          <w:b/>
          <w:lang w:val="en-US"/>
        </w:rPr>
      </w:pPr>
      <w:r w:rsidRPr="00D96BC0">
        <w:rPr>
          <w:b/>
          <w:lang w:val="en-US"/>
        </w:rPr>
        <w:t>Abstract</w:t>
      </w:r>
    </w:p>
    <w:p w14:paraId="23CC25BC" w14:textId="77777777" w:rsidR="00E553ED" w:rsidRPr="00FC6DDA" w:rsidRDefault="00E553ED" w:rsidP="00E553ED">
      <w:pPr>
        <w:widowControl w:val="0"/>
        <w:ind w:firstLine="567"/>
        <w:jc w:val="both"/>
        <w:rPr>
          <w:lang w:val="en-US"/>
        </w:rPr>
      </w:pPr>
      <w:r w:rsidRPr="00FC6DDA">
        <w:rPr>
          <w:lang w:val="en-US"/>
        </w:rPr>
        <w:t>The article examines the current state and economic trends in the functioning of the tourism industry of Pavlodar region. The object of the research is the economy of the Pavlodar region. In the course of the study, attention is focused on the dynamics of the nominal and real contribution of the tourism industry to the regional economy, the territorial distribution of tourism services and their structure in the context of types, trends in employment and labor productivity in the industry, production capacity and the state of their fixed capital. When assessing the real contribution of the tourism industry to the development of the regional economy, the dynamics of demand for tourism services from individuals and legal entities was investigated. For the development of the tourism industry in the region, an integrated analytical assessment of strategic investments has been made. Implementation of the developed investment policy makes it possible to significantly increase the volume of tourism services in the region, to strengthen the trends in the industry's contribution to the economy. The results of the research can be used in the system of activities of regional, regional departments of tourism and sports in the Republic of Kazakhstan.</w:t>
      </w:r>
      <w:r w:rsidRPr="00FC6DDA">
        <w:rPr>
          <w:rFonts w:ascii="Helvetica" w:hAnsi="Helvetica"/>
          <w:sz w:val="27"/>
          <w:szCs w:val="27"/>
          <w:shd w:val="clear" w:color="auto" w:fill="F5F5F5"/>
          <w:lang w:val="en-US"/>
        </w:rPr>
        <w:t xml:space="preserve"> </w:t>
      </w:r>
    </w:p>
    <w:p w14:paraId="28436AB7" w14:textId="038058C7" w:rsidR="00E553ED" w:rsidRPr="00FC6DDA" w:rsidRDefault="00E553ED" w:rsidP="00E553ED">
      <w:pPr>
        <w:ind w:firstLine="567"/>
        <w:jc w:val="both"/>
        <w:rPr>
          <w:rStyle w:val="jlqj4b"/>
          <w:rFonts w:ascii="Helvetica" w:hAnsi="Helvetica"/>
          <w:sz w:val="27"/>
          <w:szCs w:val="27"/>
          <w:shd w:val="clear" w:color="auto" w:fill="F5F5F5"/>
          <w:lang w:val="en-US"/>
        </w:rPr>
      </w:pPr>
      <w:r w:rsidRPr="00FC6DDA">
        <w:rPr>
          <w:lang w:val="en-US"/>
        </w:rPr>
        <w:t xml:space="preserve">Key words: tourism industry; </w:t>
      </w:r>
      <w:r w:rsidRPr="00FC6DDA">
        <w:rPr>
          <w:rStyle w:val="jlqj4b"/>
          <w:lang w:val="en-US"/>
        </w:rPr>
        <w:t xml:space="preserve">tourist services; market of tourist services; gross regional product; supply and demand; productive capacity; investments. </w:t>
      </w:r>
    </w:p>
    <w:p w14:paraId="3961FBA6" w14:textId="3D61B716" w:rsidR="00E553ED" w:rsidRPr="00FC6DDA" w:rsidRDefault="00E553ED" w:rsidP="00E553ED">
      <w:pPr>
        <w:rPr>
          <w:lang w:val="en-US"/>
        </w:rPr>
      </w:pPr>
    </w:p>
    <w:p w14:paraId="0EDCD2A0" w14:textId="77777777" w:rsidR="003402BB" w:rsidRPr="00FC6DDA" w:rsidRDefault="003402BB" w:rsidP="003402BB">
      <w:pPr>
        <w:widowControl w:val="0"/>
        <w:ind w:firstLine="567"/>
        <w:jc w:val="both"/>
        <w:rPr>
          <w:lang w:val="en-US"/>
        </w:rPr>
      </w:pPr>
      <w:r w:rsidRPr="00FC6DDA">
        <w:rPr>
          <w:lang w:val="en-US"/>
        </w:rPr>
        <w:t>The study was carried out as part of the implementation of the regional state budget funded research work «Concept for the development of year-round tourism in Pavlodar region until 2025».</w:t>
      </w:r>
    </w:p>
    <w:p w14:paraId="4888FE7E" w14:textId="77777777" w:rsidR="003402BB" w:rsidRPr="00FC6DDA" w:rsidRDefault="003402BB" w:rsidP="003402BB">
      <w:pPr>
        <w:widowControl w:val="0"/>
        <w:ind w:firstLine="567"/>
        <w:jc w:val="both"/>
        <w:rPr>
          <w:lang w:val="en-US"/>
        </w:rPr>
      </w:pPr>
      <w:r w:rsidRPr="00FC6DDA">
        <w:rPr>
          <w:lang w:val="en-US"/>
        </w:rPr>
        <w:t>In the research and writing of a scientific article, advisory support was provided by leading scientists of the Department of Economics of Toraighyrov University.</w:t>
      </w:r>
    </w:p>
    <w:p w14:paraId="421D9389" w14:textId="77777777" w:rsidR="00FC2DED" w:rsidRPr="00FC6DDA" w:rsidRDefault="00FC2DED" w:rsidP="00914BB2">
      <w:pPr>
        <w:ind w:firstLine="567"/>
        <w:jc w:val="both"/>
        <w:rPr>
          <w:lang w:val="en-US"/>
        </w:rPr>
      </w:pPr>
    </w:p>
    <w:p w14:paraId="0DB4EACC" w14:textId="77777777" w:rsidR="00893FFC" w:rsidRPr="00FC6DDA" w:rsidRDefault="00893FFC" w:rsidP="00914BB2">
      <w:pPr>
        <w:ind w:firstLine="567"/>
        <w:jc w:val="both"/>
        <w:rPr>
          <w:lang w:val="en-US"/>
        </w:rPr>
      </w:pPr>
    </w:p>
    <w:p w14:paraId="71D2AF12" w14:textId="2759E65D" w:rsidR="00F25AA8" w:rsidRPr="00FC6DDA" w:rsidRDefault="00F25AA8" w:rsidP="00F25AA8">
      <w:pPr>
        <w:ind w:firstLine="567"/>
        <w:jc w:val="both"/>
        <w:rPr>
          <w:lang w:val="en-US"/>
        </w:rPr>
      </w:pPr>
      <w:r w:rsidRPr="00FC6DDA">
        <w:rPr>
          <w:b/>
          <w:bCs/>
          <w:lang w:val="en-US"/>
        </w:rPr>
        <w:t>Introduction</w:t>
      </w:r>
      <w:r w:rsidR="00497A37" w:rsidRPr="00FC6DDA">
        <w:rPr>
          <w:b/>
          <w:bCs/>
          <w:lang w:val="en-US"/>
        </w:rPr>
        <w:t>.</w:t>
      </w:r>
      <w:r w:rsidR="00497A37" w:rsidRPr="00FC6DDA">
        <w:rPr>
          <w:lang w:val="en-US"/>
        </w:rPr>
        <w:t xml:space="preserve"> </w:t>
      </w:r>
      <w:r w:rsidRPr="00FC6DDA">
        <w:rPr>
          <w:lang w:val="en-US"/>
        </w:rPr>
        <w:t xml:space="preserve">The tourism industry refers to the service sector with high added value, which is directly aimed at meeting the spiritual and moral needs of a person and society, allowing people to study the culture of different countries of the world and the development trends of civilization as a whole. In the context of the transition of the economy of many developed and developing countries of the world to scientific and technological progress based on the principles of </w:t>
      </w:r>
      <w:r w:rsidR="00862590" w:rsidRPr="00FC6DDA">
        <w:rPr>
          <w:lang w:val="en-US"/>
        </w:rPr>
        <w:t>«</w:t>
      </w:r>
      <w:r w:rsidRPr="00FC6DDA">
        <w:rPr>
          <w:lang w:val="en-US"/>
        </w:rPr>
        <w:t>Industrialization 4.0</w:t>
      </w:r>
      <w:r w:rsidR="00862590" w:rsidRPr="00FC6DDA">
        <w:rPr>
          <w:lang w:val="en-US"/>
        </w:rPr>
        <w:t>»</w:t>
      </w:r>
      <w:r w:rsidRPr="00FC6DDA">
        <w:rPr>
          <w:lang w:val="en-US"/>
        </w:rPr>
        <w:t xml:space="preserve">, the tourism industry does not stand aside. In the field of tourism services, innovative solutions are generated based on a number of tools, such as experience economy, innovative marketing, innovative management of tourism clusters, modern innovative systems for managing transport communications and passenger traffic. The Republic of Kazakhstan, as the center of Eurasia, has a significant tourist potential, which, if used correctly, can allow diversifying the country's economy, developing an export-oriented non-raw material sector. For the development of the tourism industry in the Republic of Kazakhstan, a target departmental State program </w:t>
      </w:r>
      <w:r w:rsidR="00862590" w:rsidRPr="00FC6DDA">
        <w:rPr>
          <w:lang w:val="en-US"/>
        </w:rPr>
        <w:t>«</w:t>
      </w:r>
      <w:r w:rsidRPr="00FC6DDA">
        <w:rPr>
          <w:lang w:val="en-US"/>
        </w:rPr>
        <w:t xml:space="preserve">Development of the tourism industry of the Republic of Kazakhstan for 2019 </w:t>
      </w:r>
      <w:r w:rsidR="00862590" w:rsidRPr="00FC6DDA">
        <w:rPr>
          <w:lang w:val="en-US"/>
        </w:rPr>
        <w:t>–</w:t>
      </w:r>
      <w:r w:rsidRPr="00FC6DDA">
        <w:rPr>
          <w:lang w:val="en-US"/>
        </w:rPr>
        <w:t xml:space="preserve"> 2025</w:t>
      </w:r>
      <w:r w:rsidR="00862590" w:rsidRPr="00FC6DDA">
        <w:rPr>
          <w:lang w:val="en-US"/>
        </w:rPr>
        <w:t>»</w:t>
      </w:r>
      <w:r w:rsidRPr="00FC6DDA">
        <w:rPr>
          <w:lang w:val="en-US"/>
        </w:rPr>
        <w:t xml:space="preserve"> has been developed and adopted. All regions of the country should be involved to the maximum extent in the implementation of this program.</w:t>
      </w:r>
    </w:p>
    <w:p w14:paraId="77BE2FD5" w14:textId="0C5454E9" w:rsidR="00C86452" w:rsidRPr="00FC6DDA" w:rsidRDefault="00F25AA8" w:rsidP="00F25AA8">
      <w:pPr>
        <w:ind w:firstLine="567"/>
        <w:jc w:val="both"/>
        <w:rPr>
          <w:lang w:val="en-US"/>
        </w:rPr>
      </w:pPr>
      <w:r w:rsidRPr="00FC6DDA">
        <w:rPr>
          <w:lang w:val="en-US"/>
        </w:rPr>
        <w:t xml:space="preserve">Pavlodar region, in which the Bayanaul National Park-Reserve is located, has a significant tourist potential in the Republic of Kazakhstan. Also, the region has ample opportunities for the development of sacred and spiritual, sports, rural, industrial tourism. The relevance of the development of the tourism industry in Pavlodar region requires an in-depth economic analysis of its state on the one hand and a comprehensive assessment of strategic investments in its development on the other hand. </w:t>
      </w:r>
    </w:p>
    <w:p w14:paraId="43127450" w14:textId="73E42978" w:rsidR="00C0095D" w:rsidRPr="00FC6DDA" w:rsidRDefault="00F25AA8" w:rsidP="007676A8">
      <w:pPr>
        <w:ind w:firstLine="567"/>
        <w:jc w:val="both"/>
        <w:rPr>
          <w:lang w:val="en-US"/>
        </w:rPr>
      </w:pPr>
      <w:r w:rsidRPr="00FC6DDA">
        <w:rPr>
          <w:b/>
          <w:bCs/>
          <w:lang w:val="en-US"/>
        </w:rPr>
        <w:t>Literature review</w:t>
      </w:r>
      <w:r w:rsidR="001D4FF8" w:rsidRPr="00FC6DDA">
        <w:rPr>
          <w:b/>
          <w:bCs/>
          <w:lang w:val="en-US"/>
        </w:rPr>
        <w:t>.</w:t>
      </w:r>
      <w:r w:rsidR="00707A6A" w:rsidRPr="00FC6DDA">
        <w:rPr>
          <w:b/>
          <w:bCs/>
          <w:lang w:val="en-US"/>
        </w:rPr>
        <w:t xml:space="preserve"> </w:t>
      </w:r>
      <w:r w:rsidRPr="00FC6DDA">
        <w:rPr>
          <w:lang w:val="en-US"/>
        </w:rPr>
        <w:t>Theoretical, methodological and applied aspects of the development of regional tourism are widely covered by Kazakhstani scientists, scientists from near and far abroad. Kazakhstani scientist Uakbaev Sh.U</w:t>
      </w:r>
      <w:r w:rsidR="00862590" w:rsidRPr="00FC6DDA">
        <w:rPr>
          <w:lang w:val="en-US"/>
        </w:rPr>
        <w:t>.</w:t>
      </w:r>
      <w:r w:rsidRPr="00FC6DDA">
        <w:rPr>
          <w:lang w:val="en-US"/>
        </w:rPr>
        <w:t>, notes that the tourist region is a separate territory, within which various tourist resources are concentrated. Tourist regions in the framework of economic analysis are relevant to systematize into meso (micro) and macro</w:t>
      </w:r>
      <w:r w:rsidR="00862590" w:rsidRPr="00FC6DDA">
        <w:rPr>
          <w:lang w:val="en-US"/>
        </w:rPr>
        <w:t xml:space="preserve"> </w:t>
      </w:r>
      <w:r w:rsidRPr="00FC6DDA">
        <w:rPr>
          <w:lang w:val="en-US"/>
        </w:rPr>
        <w:t>regions. Tourist macro</w:t>
      </w:r>
      <w:r w:rsidR="00862590" w:rsidRPr="00FC6DDA">
        <w:rPr>
          <w:lang w:val="en-US"/>
        </w:rPr>
        <w:t xml:space="preserve"> </w:t>
      </w:r>
      <w:r w:rsidRPr="00FC6DDA">
        <w:rPr>
          <w:lang w:val="en-US"/>
        </w:rPr>
        <w:t xml:space="preserve">regions mean the tourist industry of the country as a whole. Systemic economic analysis and modeling of </w:t>
      </w:r>
      <w:r w:rsidRPr="00FC6DDA">
        <w:rPr>
          <w:lang w:val="en-US"/>
        </w:rPr>
        <w:lastRenderedPageBreak/>
        <w:t>processes in the regional tourism industry are based on a retrospective analysis that covers a period from 5 to 15 years. This takes into account soc</w:t>
      </w:r>
      <w:r w:rsidR="00862590" w:rsidRPr="00FC6DDA">
        <w:rPr>
          <w:lang w:val="en-US"/>
        </w:rPr>
        <w:t>io</w:t>
      </w:r>
      <w:r w:rsidRPr="00FC6DDA">
        <w:rPr>
          <w:lang w:val="en-US"/>
        </w:rPr>
        <w:t xml:space="preserve">economic factors, features of the regional economy </w:t>
      </w:r>
      <w:r w:rsidR="007676A8" w:rsidRPr="00FC6DDA">
        <w:rPr>
          <w:lang w:val="en-US"/>
        </w:rPr>
        <w:t>[1]</w:t>
      </w:r>
      <w:r w:rsidR="00C0095D" w:rsidRPr="00FC6DDA">
        <w:rPr>
          <w:lang w:val="en-US"/>
        </w:rPr>
        <w:t>.</w:t>
      </w:r>
    </w:p>
    <w:p w14:paraId="47901691" w14:textId="1B091D87" w:rsidR="007B65DE" w:rsidRPr="00FC6DDA" w:rsidRDefault="00F25AA8" w:rsidP="007676A8">
      <w:pPr>
        <w:ind w:firstLine="567"/>
        <w:jc w:val="both"/>
        <w:rPr>
          <w:lang w:val="en-US"/>
        </w:rPr>
      </w:pPr>
      <w:r w:rsidRPr="00FC6DDA">
        <w:rPr>
          <w:lang w:val="en-US"/>
        </w:rPr>
        <w:t xml:space="preserve">Research scientist Perelygina M. from Hong Kong Polytechnic University in the development of regional tourism focuses on the trends of inbound and outbound tourism, while introducing the concept of </w:t>
      </w:r>
      <w:r w:rsidR="00862590" w:rsidRPr="00FC6DDA">
        <w:rPr>
          <w:lang w:val="en-US"/>
        </w:rPr>
        <w:t>«</w:t>
      </w:r>
      <w:r w:rsidRPr="00FC6DDA">
        <w:rPr>
          <w:lang w:val="en-US"/>
        </w:rPr>
        <w:t>cultural distance</w:t>
      </w:r>
      <w:r w:rsidR="00862590" w:rsidRPr="00FC6DDA">
        <w:rPr>
          <w:lang w:val="en-US"/>
        </w:rPr>
        <w:t>»</w:t>
      </w:r>
      <w:r w:rsidR="007B65DE" w:rsidRPr="00FC6DDA">
        <w:rPr>
          <w:lang w:val="en-US"/>
        </w:rPr>
        <w:t xml:space="preserve"> [2]. </w:t>
      </w:r>
    </w:p>
    <w:p w14:paraId="1F7939C8" w14:textId="629CA68F" w:rsidR="007676A8" w:rsidRPr="00FC6DDA" w:rsidRDefault="00F25AA8" w:rsidP="00655EA0">
      <w:pPr>
        <w:ind w:firstLine="567"/>
        <w:jc w:val="both"/>
        <w:rPr>
          <w:lang w:val="en-US"/>
        </w:rPr>
      </w:pPr>
      <w:r w:rsidRPr="00FC6DDA">
        <w:rPr>
          <w:lang w:val="en-US"/>
        </w:rPr>
        <w:t>Researchers from the Russian Federation, Novikova N.G., Lebedev K.A., Lebedeva O.E., note that the development of regional tourism involves the creation of special small and medium-sized tourist enterprises, while there is a multiplier effect due to the development of related industries economies: construction, trade, agriculture, transport, communications, culture and art. Regional investment support for the tourism industry is systemic and complex and involves</w:t>
      </w:r>
      <w:r w:rsidR="00655EA0" w:rsidRPr="00FC6DDA">
        <w:rPr>
          <w:lang w:val="en-US"/>
        </w:rPr>
        <w:t>:</w:t>
      </w:r>
    </w:p>
    <w:p w14:paraId="65C6593F" w14:textId="77777777" w:rsidR="00F25AA8" w:rsidRPr="00FC6DDA" w:rsidRDefault="00F25AA8" w:rsidP="00F25AA8">
      <w:pPr>
        <w:ind w:firstLine="567"/>
        <w:jc w:val="both"/>
        <w:rPr>
          <w:lang w:val="en-US"/>
        </w:rPr>
      </w:pPr>
      <w:r w:rsidRPr="00FC6DDA">
        <w:rPr>
          <w:lang w:val="en-US"/>
        </w:rPr>
        <w:t>- public investment;</w:t>
      </w:r>
    </w:p>
    <w:p w14:paraId="055AB16A" w14:textId="77777777" w:rsidR="00F25AA8" w:rsidRPr="00FC6DDA" w:rsidRDefault="00F25AA8" w:rsidP="00F25AA8">
      <w:pPr>
        <w:ind w:firstLine="567"/>
        <w:jc w:val="both"/>
        <w:rPr>
          <w:lang w:val="en-US"/>
        </w:rPr>
      </w:pPr>
      <w:r w:rsidRPr="00FC6DDA">
        <w:rPr>
          <w:lang w:val="en-US"/>
        </w:rPr>
        <w:t>- funds of foreign investors, including through the creation of joint tourism enterprises;</w:t>
      </w:r>
    </w:p>
    <w:p w14:paraId="0354D5BA" w14:textId="1070303B" w:rsidR="00F25AA8" w:rsidRPr="00FC6DDA" w:rsidRDefault="00F25AA8" w:rsidP="00F25AA8">
      <w:pPr>
        <w:ind w:firstLine="567"/>
        <w:jc w:val="both"/>
        <w:rPr>
          <w:lang w:val="en-US"/>
        </w:rPr>
      </w:pPr>
      <w:r w:rsidRPr="00FC6DDA">
        <w:rPr>
          <w:lang w:val="en-US"/>
        </w:rPr>
        <w:t xml:space="preserve">- </w:t>
      </w:r>
      <w:r w:rsidR="00F31035" w:rsidRPr="00FC6DDA">
        <w:rPr>
          <w:lang w:val="en-US"/>
        </w:rPr>
        <w:t>c</w:t>
      </w:r>
      <w:r w:rsidRPr="00FC6DDA">
        <w:rPr>
          <w:lang w:val="en-US"/>
        </w:rPr>
        <w:t>onsolidation of share capital and creation of large regional tourism corporations;</w:t>
      </w:r>
    </w:p>
    <w:p w14:paraId="5CD623D5" w14:textId="26639A17" w:rsidR="00A1640D" w:rsidRPr="00FC6DDA" w:rsidRDefault="00F25AA8" w:rsidP="00F25AA8">
      <w:pPr>
        <w:ind w:firstLine="567"/>
        <w:jc w:val="both"/>
        <w:rPr>
          <w:lang w:val="en-US"/>
        </w:rPr>
      </w:pPr>
      <w:r w:rsidRPr="00FC6DDA">
        <w:rPr>
          <w:lang w:val="en-US"/>
        </w:rPr>
        <w:t xml:space="preserve">- bank lending and leasing security </w:t>
      </w:r>
      <w:r w:rsidR="00A1640D" w:rsidRPr="00FC6DDA">
        <w:rPr>
          <w:lang w:val="en-US"/>
        </w:rPr>
        <w:t>[3].</w:t>
      </w:r>
    </w:p>
    <w:p w14:paraId="54ED943B" w14:textId="51AAA4EC" w:rsidR="00565984" w:rsidRPr="00FC6DDA" w:rsidRDefault="00F25AA8" w:rsidP="00565984">
      <w:pPr>
        <w:ind w:firstLine="567"/>
        <w:jc w:val="both"/>
        <w:rPr>
          <w:lang w:val="en-US"/>
        </w:rPr>
      </w:pPr>
      <w:r w:rsidRPr="00FC6DDA">
        <w:rPr>
          <w:lang w:val="en-US"/>
        </w:rPr>
        <w:t xml:space="preserve">In the studies of scientists from far abroad, when considering the development of regional tourism, the emphasis is on the priorities of investment in the construction of tourist clusters. At the same time, along with monetary investments, the intellectual potential of research organizations, educational organizations, and tourist organizations is accumulating [4]. Also, the emphasis is on the correlation between the development of the tourism industry and the growth of the regional economy. At the same time, there should be a parity investment policy in both the development of urban and rural tourism </w:t>
      </w:r>
      <w:r w:rsidR="00DB05EB" w:rsidRPr="00FC6DDA">
        <w:rPr>
          <w:lang w:val="en-US"/>
        </w:rPr>
        <w:t>[5].</w:t>
      </w:r>
    </w:p>
    <w:p w14:paraId="5B68C9FC" w14:textId="77777777" w:rsidR="00E32358" w:rsidRPr="00FC6DDA" w:rsidRDefault="00FD499A" w:rsidP="00E32358">
      <w:pPr>
        <w:ind w:firstLine="567"/>
        <w:jc w:val="both"/>
        <w:rPr>
          <w:lang w:val="en-US"/>
        </w:rPr>
      </w:pPr>
      <w:r w:rsidRPr="00FC6DDA">
        <w:rPr>
          <w:lang w:val="en-US"/>
        </w:rPr>
        <w:t>Certain scientists-researchers, in the search for the optimal priorities of the investment policy for the development of the tourism industry, have established patterns that investments will be effective, provided that the income of the population grows and their location is closer to places of rest. These aspects are considered in scientific research of Portuguese scientists Cro S., Martins A.M. [6]. The role of investment in the tourism industry, focused on the quantitative growth of tourism services and the creation of new jobs, was considered by the scientist Ilie G. from Romania [7].</w:t>
      </w:r>
    </w:p>
    <w:p w14:paraId="11B65648" w14:textId="37FC0C18" w:rsidR="00E32358" w:rsidRPr="00FC6DDA" w:rsidRDefault="00E32358" w:rsidP="00E32358">
      <w:pPr>
        <w:ind w:firstLine="567"/>
        <w:jc w:val="both"/>
        <w:rPr>
          <w:lang w:val="en-US"/>
        </w:rPr>
      </w:pPr>
      <w:r w:rsidRPr="00FC6DDA">
        <w:rPr>
          <w:lang w:val="en-US"/>
        </w:rPr>
        <w:t>The direct dependence of investment in the tourism industry and gross value added is considered in a scientific study by scientists from Kazakhstan, Croatia, India, Indonesia [8, 9, 10, 11].</w:t>
      </w:r>
      <w:r w:rsidRPr="00FC6DDA">
        <w:rPr>
          <w:rFonts w:ascii="Helvetica" w:hAnsi="Helvetica"/>
          <w:sz w:val="27"/>
          <w:szCs w:val="27"/>
          <w:shd w:val="clear" w:color="auto" w:fill="F5F5F5"/>
          <w:lang w:val="en-US"/>
        </w:rPr>
        <w:t xml:space="preserve"> </w:t>
      </w:r>
    </w:p>
    <w:p w14:paraId="4CE263EB" w14:textId="77777777" w:rsidR="00FD499A" w:rsidRPr="00FC6DDA" w:rsidRDefault="00F25AA8" w:rsidP="00FD499A">
      <w:pPr>
        <w:ind w:firstLine="567"/>
        <w:jc w:val="both"/>
        <w:rPr>
          <w:lang w:val="en-US"/>
        </w:rPr>
      </w:pPr>
      <w:r w:rsidRPr="00FC6DDA">
        <w:rPr>
          <w:b/>
          <w:bCs/>
          <w:lang w:val="en-US"/>
        </w:rPr>
        <w:t>Methodology</w:t>
      </w:r>
      <w:r w:rsidR="003E4019" w:rsidRPr="00FC6DDA">
        <w:rPr>
          <w:b/>
          <w:bCs/>
          <w:lang w:val="en-US"/>
        </w:rPr>
        <w:t>.</w:t>
      </w:r>
      <w:r w:rsidR="00943473" w:rsidRPr="00FC6DDA">
        <w:rPr>
          <w:b/>
          <w:bCs/>
          <w:lang w:val="en-US"/>
        </w:rPr>
        <w:t xml:space="preserve"> </w:t>
      </w:r>
      <w:r w:rsidR="00FD499A" w:rsidRPr="00FC6DDA">
        <w:rPr>
          <w:lang w:val="en-US"/>
        </w:rPr>
        <w:t>The main research methods were: analytical and synthetic, statistical, calculation and analytical research methods. The hypothesis design method was also used. Within the framework of the analytical research method, all the constituent elements of the tourism industry of Pavlodar region were analyzed separately, such as: nominal and real volume of tourism services; the volume of tourist services in the context of the territories of the region; employment, wages and labor productivity in the tourism industry; dynamics of tourism industry organizations; condition of fixed capital and production facilities of the tourism industry. The analytical method made it possible to determine the problem points of the functioning of the tourism industry in the region. The analytical method was coupled with the statistical research method. Based on the analytical method, the hypothesis method was applied. Within the framework of the main hypothesis, it was determined that the tourism industry of the region needs investment: investment in infrastructure development (fixed capital) and investment in human resources. Based on the method of hypotheses, to achieve the resulting indicators, a synthetic research method was applied, within which the calculation and analytical method was also applied.</w:t>
      </w:r>
      <w:r w:rsidR="00FD499A" w:rsidRPr="00FC6DDA">
        <w:rPr>
          <w:rFonts w:ascii="Helvetica" w:hAnsi="Helvetica"/>
          <w:sz w:val="27"/>
          <w:szCs w:val="27"/>
          <w:shd w:val="clear" w:color="auto" w:fill="F5F5F5"/>
          <w:lang w:val="en-US"/>
        </w:rPr>
        <w:t xml:space="preserve"> </w:t>
      </w:r>
    </w:p>
    <w:p w14:paraId="31A9C6D3" w14:textId="791EF913" w:rsidR="00DB05EB" w:rsidRPr="00FC6DDA" w:rsidRDefault="00F34ECA" w:rsidP="00DB05EB">
      <w:pPr>
        <w:widowControl w:val="0"/>
        <w:ind w:firstLine="567"/>
        <w:jc w:val="both"/>
        <w:rPr>
          <w:lang w:val="en-US"/>
        </w:rPr>
      </w:pPr>
      <w:r w:rsidRPr="00FC6DDA">
        <w:rPr>
          <w:b/>
          <w:bCs/>
          <w:lang w:val="en-US"/>
        </w:rPr>
        <w:t>Results and discussion.</w:t>
      </w:r>
      <w:r w:rsidR="00FD499A" w:rsidRPr="00FC6DDA">
        <w:rPr>
          <w:b/>
          <w:bCs/>
          <w:lang w:val="en-US"/>
        </w:rPr>
        <w:t xml:space="preserve"> </w:t>
      </w:r>
      <w:r w:rsidR="00F25AA8" w:rsidRPr="00FC6DDA">
        <w:rPr>
          <w:lang w:val="en-US"/>
        </w:rPr>
        <w:t>The tourist industry and tourist services in Pavlodar region, despite a significant period of formation of market relations in the region, is at the stage of development. The functioning of the tourism industry is accompanied by insignificant economic cycles, and its nominal contribution to the development of the regional economy, for 2015 - 2019, varied from 0.55% to 0.3% (Table 1, Figure 1)</w:t>
      </w:r>
      <w:r w:rsidR="00DB05EB" w:rsidRPr="00FC6DDA">
        <w:rPr>
          <w:lang w:val="en-US"/>
        </w:rPr>
        <w:t>.</w:t>
      </w:r>
    </w:p>
    <w:p w14:paraId="5EECC59C" w14:textId="77777777" w:rsidR="00FD499A" w:rsidRPr="00FC6DDA" w:rsidRDefault="00FD499A" w:rsidP="00FD499A">
      <w:pPr>
        <w:widowControl w:val="0"/>
        <w:ind w:firstLine="567"/>
        <w:jc w:val="both"/>
        <w:rPr>
          <w:lang w:val="en-US"/>
        </w:rPr>
      </w:pPr>
      <w:r w:rsidRPr="00FC6DDA">
        <w:rPr>
          <w:lang w:val="en-US"/>
        </w:rPr>
        <w:t>The tourism industry is focused on providing a wide range of services, such as:</w:t>
      </w:r>
    </w:p>
    <w:p w14:paraId="3C65D1A8" w14:textId="77777777" w:rsidR="00FD499A" w:rsidRPr="00FC6DDA" w:rsidRDefault="00FD499A" w:rsidP="00FD499A">
      <w:pPr>
        <w:widowControl w:val="0"/>
        <w:ind w:firstLine="567"/>
        <w:jc w:val="both"/>
        <w:rPr>
          <w:lang w:val="en-US"/>
        </w:rPr>
      </w:pPr>
      <w:r w:rsidRPr="00FC6DDA">
        <w:rPr>
          <w:lang w:val="en-US"/>
        </w:rPr>
        <w:lastRenderedPageBreak/>
        <w:t>- hotel business (accommodation services);</w:t>
      </w:r>
    </w:p>
    <w:p w14:paraId="2928E7A9" w14:textId="77777777" w:rsidR="00FD499A" w:rsidRPr="00FC6DDA" w:rsidRDefault="00FD499A" w:rsidP="00FD499A">
      <w:pPr>
        <w:widowControl w:val="0"/>
        <w:ind w:firstLine="567"/>
        <w:jc w:val="both"/>
        <w:rPr>
          <w:lang w:val="en-US"/>
        </w:rPr>
      </w:pPr>
      <w:r w:rsidRPr="00FC6DDA">
        <w:rPr>
          <w:lang w:val="en-US"/>
        </w:rPr>
        <w:t>- rest, entertainment;</w:t>
      </w:r>
    </w:p>
    <w:p w14:paraId="214BF8C4" w14:textId="77777777" w:rsidR="00FD499A" w:rsidRPr="00FC6DDA" w:rsidRDefault="00FD499A" w:rsidP="00FD499A">
      <w:pPr>
        <w:widowControl w:val="0"/>
        <w:ind w:firstLine="567"/>
        <w:jc w:val="both"/>
        <w:rPr>
          <w:lang w:val="en-US"/>
        </w:rPr>
      </w:pPr>
      <w:r w:rsidRPr="00FC6DDA">
        <w:rPr>
          <w:lang w:val="en-US"/>
        </w:rPr>
        <w:t>- sports.</w:t>
      </w:r>
    </w:p>
    <w:p w14:paraId="7A933DC8" w14:textId="77777777" w:rsidR="00FD499A" w:rsidRPr="00FC6DDA" w:rsidRDefault="00FD499A" w:rsidP="00FD499A">
      <w:pPr>
        <w:widowControl w:val="0"/>
        <w:ind w:firstLine="567"/>
        <w:jc w:val="both"/>
        <w:rPr>
          <w:lang w:val="en-US"/>
        </w:rPr>
      </w:pPr>
      <w:r w:rsidRPr="00FC6DDA">
        <w:rPr>
          <w:lang w:val="en-US"/>
        </w:rPr>
        <w:t>In these directions, Pavlodar region has a certain potential. The maximum volumes of provision of services related to tourism activities and the maximum rates of their growth occurred in 2017 and 2019. The growth rates of services in these periods were 114.1% and 107%, respectively (Table 2, Figure 2).</w:t>
      </w:r>
    </w:p>
    <w:p w14:paraId="6877C7BC" w14:textId="77777777" w:rsidR="00FD499A" w:rsidRPr="00FC6DDA" w:rsidRDefault="00FD499A" w:rsidP="00362B38">
      <w:pPr>
        <w:rPr>
          <w:lang w:val="en-US"/>
        </w:rPr>
      </w:pPr>
    </w:p>
    <w:p w14:paraId="7EFCA8DD" w14:textId="551A2E87" w:rsidR="00362B38" w:rsidRPr="00FC6DDA" w:rsidRDefault="00F25AA8" w:rsidP="00362B38">
      <w:pPr>
        <w:rPr>
          <w:lang w:val="en-US"/>
        </w:rPr>
      </w:pPr>
      <w:r w:rsidRPr="00FC6DDA">
        <w:rPr>
          <w:lang w:val="en-US"/>
        </w:rPr>
        <w:t>Table</w:t>
      </w:r>
      <w:r w:rsidR="00362B38" w:rsidRPr="00FC6DDA">
        <w:rPr>
          <w:lang w:val="en-US"/>
        </w:rPr>
        <w:t xml:space="preserve"> 1 – </w:t>
      </w:r>
      <w:r w:rsidRPr="00FC6DDA">
        <w:rPr>
          <w:lang w:val="en-US"/>
        </w:rPr>
        <w:t>Nominal dynamics of assessing the contribution of the tourism industry to GRP</w:t>
      </w:r>
    </w:p>
    <w:tbl>
      <w:tblPr>
        <w:tblStyle w:val="TableGrid"/>
        <w:tblW w:w="0" w:type="auto"/>
        <w:tblLook w:val="04A0" w:firstRow="1" w:lastRow="0" w:firstColumn="1" w:lastColumn="0" w:noHBand="0" w:noVBand="1"/>
      </w:tblPr>
      <w:tblGrid>
        <w:gridCol w:w="5035"/>
        <w:gridCol w:w="918"/>
        <w:gridCol w:w="919"/>
        <w:gridCol w:w="918"/>
        <w:gridCol w:w="919"/>
        <w:gridCol w:w="919"/>
      </w:tblGrid>
      <w:tr w:rsidR="00362B38" w:rsidRPr="00FC6DDA" w14:paraId="2E8971DE" w14:textId="77777777" w:rsidTr="00362B38">
        <w:tc>
          <w:tcPr>
            <w:tcW w:w="5035" w:type="dxa"/>
            <w:vMerge w:val="restart"/>
          </w:tcPr>
          <w:p w14:paraId="3DE71CD2" w14:textId="4506A9E4" w:rsidR="00362B38" w:rsidRPr="00FC6DDA" w:rsidRDefault="008D4CCA" w:rsidP="00C33ABB">
            <w:pPr>
              <w:jc w:val="center"/>
              <w:rPr>
                <w:lang w:val="en-US"/>
              </w:rPr>
            </w:pPr>
            <w:r w:rsidRPr="00FC6DDA">
              <w:rPr>
                <w:lang w:val="en-US"/>
              </w:rPr>
              <w:t>Index</w:t>
            </w:r>
          </w:p>
        </w:tc>
        <w:tc>
          <w:tcPr>
            <w:tcW w:w="4593" w:type="dxa"/>
            <w:gridSpan w:val="5"/>
          </w:tcPr>
          <w:p w14:paraId="66498BEA" w14:textId="49C6B28E" w:rsidR="00362B38" w:rsidRPr="00FC6DDA" w:rsidRDefault="00EE4EA2" w:rsidP="00C33ABB">
            <w:pPr>
              <w:jc w:val="center"/>
              <w:rPr>
                <w:lang w:val="en-US"/>
              </w:rPr>
            </w:pPr>
            <w:r w:rsidRPr="00FC6DDA">
              <w:rPr>
                <w:lang w:val="en-US"/>
              </w:rPr>
              <w:t>Year</w:t>
            </w:r>
          </w:p>
        </w:tc>
      </w:tr>
      <w:tr w:rsidR="00362B38" w:rsidRPr="00FC6DDA" w14:paraId="1FED19FB" w14:textId="77777777" w:rsidTr="00362B38">
        <w:tc>
          <w:tcPr>
            <w:tcW w:w="5035" w:type="dxa"/>
            <w:vMerge/>
          </w:tcPr>
          <w:p w14:paraId="69E20DAA" w14:textId="77777777" w:rsidR="00362B38" w:rsidRPr="00FC6DDA" w:rsidRDefault="00362B38" w:rsidP="00C33ABB">
            <w:pPr>
              <w:jc w:val="center"/>
            </w:pPr>
          </w:p>
        </w:tc>
        <w:tc>
          <w:tcPr>
            <w:tcW w:w="918" w:type="dxa"/>
          </w:tcPr>
          <w:p w14:paraId="20331F8E" w14:textId="77777777" w:rsidR="00362B38" w:rsidRPr="00FC6DDA" w:rsidRDefault="00362B38" w:rsidP="00C33ABB">
            <w:pPr>
              <w:jc w:val="center"/>
            </w:pPr>
            <w:r w:rsidRPr="00FC6DDA">
              <w:t>2015</w:t>
            </w:r>
          </w:p>
        </w:tc>
        <w:tc>
          <w:tcPr>
            <w:tcW w:w="919" w:type="dxa"/>
          </w:tcPr>
          <w:p w14:paraId="644E5A88" w14:textId="77777777" w:rsidR="00362B38" w:rsidRPr="00FC6DDA" w:rsidRDefault="00362B38" w:rsidP="00C33ABB">
            <w:pPr>
              <w:jc w:val="center"/>
            </w:pPr>
            <w:r w:rsidRPr="00FC6DDA">
              <w:t>2016</w:t>
            </w:r>
          </w:p>
        </w:tc>
        <w:tc>
          <w:tcPr>
            <w:tcW w:w="918" w:type="dxa"/>
          </w:tcPr>
          <w:p w14:paraId="2CF40C58" w14:textId="77777777" w:rsidR="00362B38" w:rsidRPr="00FC6DDA" w:rsidRDefault="00362B38" w:rsidP="00C33ABB">
            <w:pPr>
              <w:jc w:val="center"/>
            </w:pPr>
            <w:r w:rsidRPr="00FC6DDA">
              <w:t>2017</w:t>
            </w:r>
          </w:p>
        </w:tc>
        <w:tc>
          <w:tcPr>
            <w:tcW w:w="919" w:type="dxa"/>
          </w:tcPr>
          <w:p w14:paraId="298A45E4" w14:textId="77777777" w:rsidR="00362B38" w:rsidRPr="00FC6DDA" w:rsidRDefault="00362B38" w:rsidP="00C33ABB">
            <w:pPr>
              <w:jc w:val="center"/>
            </w:pPr>
            <w:r w:rsidRPr="00FC6DDA">
              <w:t>2018</w:t>
            </w:r>
          </w:p>
        </w:tc>
        <w:tc>
          <w:tcPr>
            <w:tcW w:w="919" w:type="dxa"/>
          </w:tcPr>
          <w:p w14:paraId="38A7FEF7" w14:textId="77777777" w:rsidR="00362B38" w:rsidRPr="00FC6DDA" w:rsidRDefault="00362B38" w:rsidP="00C33ABB">
            <w:pPr>
              <w:jc w:val="center"/>
            </w:pPr>
            <w:r w:rsidRPr="00FC6DDA">
              <w:t>2019</w:t>
            </w:r>
          </w:p>
        </w:tc>
      </w:tr>
      <w:tr w:rsidR="00362B38" w:rsidRPr="00FC6DDA" w14:paraId="4987B03A" w14:textId="77777777" w:rsidTr="00362B38">
        <w:tc>
          <w:tcPr>
            <w:tcW w:w="5035" w:type="dxa"/>
          </w:tcPr>
          <w:p w14:paraId="660A7A43" w14:textId="061DEB3B" w:rsidR="00362B38" w:rsidRPr="00FC6DDA" w:rsidRDefault="00F25AA8" w:rsidP="00362B38">
            <w:pPr>
              <w:jc w:val="both"/>
              <w:rPr>
                <w:lang w:val="en-US"/>
              </w:rPr>
            </w:pPr>
            <w:r w:rsidRPr="00FC6DDA">
              <w:rPr>
                <w:lang w:val="en-US"/>
              </w:rPr>
              <w:t>Gross regional product of Pavlodar region,</w:t>
            </w:r>
            <w:r w:rsidR="00862590" w:rsidRPr="00FC6DDA">
              <w:rPr>
                <w:lang w:val="en-US"/>
              </w:rPr>
              <w:t xml:space="preserve"> a</w:t>
            </w:r>
            <w:r w:rsidRPr="00FC6DDA">
              <w:rPr>
                <w:lang w:val="en-US"/>
              </w:rPr>
              <w:t xml:space="preserve"> billion tenge</w:t>
            </w:r>
          </w:p>
        </w:tc>
        <w:tc>
          <w:tcPr>
            <w:tcW w:w="918" w:type="dxa"/>
            <w:vAlign w:val="bottom"/>
          </w:tcPr>
          <w:p w14:paraId="3B015281" w14:textId="77777777" w:rsidR="00362B38" w:rsidRPr="00FC6DDA" w:rsidRDefault="00362B38" w:rsidP="00C33ABB">
            <w:pPr>
              <w:pStyle w:val="a"/>
              <w:spacing w:line="228" w:lineRule="auto"/>
              <w:jc w:val="center"/>
              <w:rPr>
                <w:rFonts w:ascii="Times New Roman" w:eastAsia="Arial Unicode MS" w:hAnsi="Times New Roman"/>
                <w:sz w:val="20"/>
              </w:rPr>
            </w:pPr>
            <w:r w:rsidRPr="00FC6DDA">
              <w:rPr>
                <w:rFonts w:ascii="Times New Roman" w:eastAsia="Arial Unicode MS" w:hAnsi="Times New Roman"/>
                <w:sz w:val="20"/>
              </w:rPr>
              <w:t>1 736,2</w:t>
            </w:r>
          </w:p>
        </w:tc>
        <w:tc>
          <w:tcPr>
            <w:tcW w:w="919" w:type="dxa"/>
            <w:vAlign w:val="bottom"/>
          </w:tcPr>
          <w:p w14:paraId="3CC6E380" w14:textId="77777777" w:rsidR="00362B38" w:rsidRPr="00FC6DDA" w:rsidRDefault="00362B38" w:rsidP="00C33ABB">
            <w:pPr>
              <w:ind w:left="-57"/>
              <w:jc w:val="center"/>
              <w:rPr>
                <w:rFonts w:eastAsia="Arial Unicode MS"/>
              </w:rPr>
            </w:pPr>
            <w:r w:rsidRPr="00FC6DDA">
              <w:rPr>
                <w:rFonts w:eastAsia="Arial Unicode MS"/>
              </w:rPr>
              <w:t>1 975,5</w:t>
            </w:r>
          </w:p>
        </w:tc>
        <w:tc>
          <w:tcPr>
            <w:tcW w:w="918" w:type="dxa"/>
            <w:vAlign w:val="bottom"/>
          </w:tcPr>
          <w:p w14:paraId="351267AA" w14:textId="77777777" w:rsidR="00362B38" w:rsidRPr="00FC6DDA" w:rsidRDefault="00362B38" w:rsidP="00C33ABB">
            <w:pPr>
              <w:pStyle w:val="a"/>
              <w:spacing w:line="228" w:lineRule="auto"/>
              <w:jc w:val="center"/>
              <w:rPr>
                <w:rFonts w:ascii="Times New Roman" w:eastAsia="Arial Unicode MS" w:hAnsi="Times New Roman"/>
                <w:sz w:val="20"/>
                <w:vertAlign w:val="superscript"/>
              </w:rPr>
            </w:pPr>
            <w:r w:rsidRPr="00FC6DDA">
              <w:rPr>
                <w:rFonts w:ascii="Times New Roman" w:eastAsia="Arial Unicode MS" w:hAnsi="Times New Roman"/>
                <w:sz w:val="20"/>
              </w:rPr>
              <w:t>2 369,3</w:t>
            </w:r>
          </w:p>
        </w:tc>
        <w:tc>
          <w:tcPr>
            <w:tcW w:w="919" w:type="dxa"/>
            <w:vAlign w:val="bottom"/>
          </w:tcPr>
          <w:p w14:paraId="1E1FA726" w14:textId="77777777" w:rsidR="00362B38" w:rsidRPr="00FC6DDA" w:rsidRDefault="00362B38" w:rsidP="00C33ABB">
            <w:pPr>
              <w:jc w:val="center"/>
              <w:rPr>
                <w:rFonts w:eastAsia="Arial Unicode MS"/>
                <w:vertAlign w:val="superscript"/>
              </w:rPr>
            </w:pPr>
            <w:r w:rsidRPr="00FC6DDA">
              <w:rPr>
                <w:rFonts w:eastAsia="Arial Unicode MS"/>
              </w:rPr>
              <w:t>2 746,7</w:t>
            </w:r>
          </w:p>
        </w:tc>
        <w:tc>
          <w:tcPr>
            <w:tcW w:w="919" w:type="dxa"/>
            <w:vAlign w:val="bottom"/>
          </w:tcPr>
          <w:p w14:paraId="3F5C0DBC" w14:textId="77777777" w:rsidR="00362B38" w:rsidRPr="00FC6DDA" w:rsidRDefault="00362B38" w:rsidP="00C33ABB">
            <w:pPr>
              <w:jc w:val="center"/>
              <w:rPr>
                <w:bCs/>
                <w:snapToGrid w:val="0"/>
                <w:vertAlign w:val="superscript"/>
              </w:rPr>
            </w:pPr>
            <w:r w:rsidRPr="00FC6DDA">
              <w:rPr>
                <w:bCs/>
                <w:snapToGrid w:val="0"/>
              </w:rPr>
              <w:t>2 805,9</w:t>
            </w:r>
          </w:p>
        </w:tc>
      </w:tr>
      <w:tr w:rsidR="00362B38" w:rsidRPr="00FC6DDA" w14:paraId="032DBF1B" w14:textId="77777777" w:rsidTr="00362B38">
        <w:tc>
          <w:tcPr>
            <w:tcW w:w="5035" w:type="dxa"/>
          </w:tcPr>
          <w:p w14:paraId="75806D1F" w14:textId="44D5E5F0" w:rsidR="00362B38" w:rsidRPr="00FC6DDA" w:rsidRDefault="00F25AA8" w:rsidP="00362B38">
            <w:pPr>
              <w:jc w:val="both"/>
              <w:rPr>
                <w:lang w:val="en-US"/>
              </w:rPr>
            </w:pPr>
            <w:r w:rsidRPr="00FC6DDA">
              <w:rPr>
                <w:lang w:val="en-US"/>
              </w:rPr>
              <w:t xml:space="preserve">Nominal tourism services (full range of services directly and indirectly related to tourism), </w:t>
            </w:r>
            <w:r w:rsidR="00862590" w:rsidRPr="00FC6DDA">
              <w:rPr>
                <w:lang w:val="en-US"/>
              </w:rPr>
              <w:t xml:space="preserve">a </w:t>
            </w:r>
            <w:r w:rsidRPr="00FC6DDA">
              <w:rPr>
                <w:lang w:val="en-US"/>
              </w:rPr>
              <w:t>billion tenge</w:t>
            </w:r>
          </w:p>
        </w:tc>
        <w:tc>
          <w:tcPr>
            <w:tcW w:w="918" w:type="dxa"/>
            <w:vAlign w:val="bottom"/>
          </w:tcPr>
          <w:p w14:paraId="5AE7261C" w14:textId="77777777" w:rsidR="00362B38" w:rsidRPr="00FC6DDA" w:rsidRDefault="00362B38" w:rsidP="00C33ABB">
            <w:pPr>
              <w:jc w:val="center"/>
            </w:pPr>
            <w:r w:rsidRPr="00FC6DDA">
              <w:t>9,6</w:t>
            </w:r>
          </w:p>
        </w:tc>
        <w:tc>
          <w:tcPr>
            <w:tcW w:w="919" w:type="dxa"/>
            <w:vAlign w:val="bottom"/>
          </w:tcPr>
          <w:p w14:paraId="70ADF715" w14:textId="77777777" w:rsidR="00362B38" w:rsidRPr="00FC6DDA" w:rsidRDefault="00362B38" w:rsidP="00C33ABB">
            <w:pPr>
              <w:jc w:val="center"/>
            </w:pPr>
            <w:r w:rsidRPr="00FC6DDA">
              <w:t>8,7</w:t>
            </w:r>
          </w:p>
        </w:tc>
        <w:tc>
          <w:tcPr>
            <w:tcW w:w="918" w:type="dxa"/>
            <w:vAlign w:val="bottom"/>
          </w:tcPr>
          <w:p w14:paraId="5CECC495" w14:textId="77777777" w:rsidR="00362B38" w:rsidRPr="00FC6DDA" w:rsidRDefault="00362B38" w:rsidP="00C33ABB">
            <w:pPr>
              <w:jc w:val="center"/>
            </w:pPr>
            <w:r w:rsidRPr="00FC6DDA">
              <w:t>9,9</w:t>
            </w:r>
          </w:p>
        </w:tc>
        <w:tc>
          <w:tcPr>
            <w:tcW w:w="919" w:type="dxa"/>
            <w:vAlign w:val="bottom"/>
          </w:tcPr>
          <w:p w14:paraId="023E6DF6" w14:textId="77777777" w:rsidR="00362B38" w:rsidRPr="00FC6DDA" w:rsidRDefault="00362B38" w:rsidP="00C33ABB">
            <w:pPr>
              <w:jc w:val="center"/>
            </w:pPr>
            <w:r w:rsidRPr="00FC6DDA">
              <w:t>7,9</w:t>
            </w:r>
          </w:p>
        </w:tc>
        <w:tc>
          <w:tcPr>
            <w:tcW w:w="919" w:type="dxa"/>
            <w:vAlign w:val="bottom"/>
          </w:tcPr>
          <w:p w14:paraId="300D2413" w14:textId="77777777" w:rsidR="00362B38" w:rsidRPr="00FC6DDA" w:rsidRDefault="00362B38" w:rsidP="00C33ABB">
            <w:pPr>
              <w:jc w:val="center"/>
            </w:pPr>
            <w:r w:rsidRPr="00FC6DDA">
              <w:t>8,5</w:t>
            </w:r>
          </w:p>
        </w:tc>
      </w:tr>
      <w:tr w:rsidR="00362B38" w:rsidRPr="00FC6DDA" w14:paraId="66FE26B1" w14:textId="77777777" w:rsidTr="00362B38">
        <w:tc>
          <w:tcPr>
            <w:tcW w:w="5035" w:type="dxa"/>
          </w:tcPr>
          <w:p w14:paraId="0D091CE5" w14:textId="185ADD2A" w:rsidR="00362B38" w:rsidRPr="00FC6DDA" w:rsidRDefault="00F25AA8" w:rsidP="00362B38">
            <w:pPr>
              <w:jc w:val="both"/>
              <w:rPr>
                <w:lang w:val="en-US"/>
              </w:rPr>
            </w:pPr>
            <w:r w:rsidRPr="00FC6DDA">
              <w:rPr>
                <w:lang w:val="en-US"/>
              </w:rPr>
              <w:t>The nominal contribution of the tourism industry to GRP</w:t>
            </w:r>
            <w:r w:rsidR="00362B38" w:rsidRPr="00FC6DDA">
              <w:rPr>
                <w:lang w:val="en-US"/>
              </w:rPr>
              <w:t>, %</w:t>
            </w:r>
          </w:p>
        </w:tc>
        <w:tc>
          <w:tcPr>
            <w:tcW w:w="918" w:type="dxa"/>
            <w:vAlign w:val="bottom"/>
          </w:tcPr>
          <w:p w14:paraId="31A62582" w14:textId="77777777" w:rsidR="00362B38" w:rsidRPr="00FC6DDA" w:rsidRDefault="00362B38" w:rsidP="00C33ABB">
            <w:pPr>
              <w:jc w:val="center"/>
            </w:pPr>
            <w:r w:rsidRPr="00FC6DDA">
              <w:t>0,55</w:t>
            </w:r>
          </w:p>
        </w:tc>
        <w:tc>
          <w:tcPr>
            <w:tcW w:w="919" w:type="dxa"/>
            <w:vAlign w:val="bottom"/>
          </w:tcPr>
          <w:p w14:paraId="4DF9AC0E" w14:textId="77777777" w:rsidR="00362B38" w:rsidRPr="00FC6DDA" w:rsidRDefault="00362B38" w:rsidP="00C33ABB">
            <w:pPr>
              <w:jc w:val="center"/>
            </w:pPr>
            <w:r w:rsidRPr="00FC6DDA">
              <w:t>0,44</w:t>
            </w:r>
          </w:p>
        </w:tc>
        <w:tc>
          <w:tcPr>
            <w:tcW w:w="918" w:type="dxa"/>
            <w:vAlign w:val="bottom"/>
          </w:tcPr>
          <w:p w14:paraId="7E4A7CBF" w14:textId="77777777" w:rsidR="00362B38" w:rsidRPr="00FC6DDA" w:rsidRDefault="00362B38" w:rsidP="00C33ABB">
            <w:pPr>
              <w:jc w:val="center"/>
            </w:pPr>
            <w:r w:rsidRPr="00FC6DDA">
              <w:t>0,42</w:t>
            </w:r>
          </w:p>
        </w:tc>
        <w:tc>
          <w:tcPr>
            <w:tcW w:w="919" w:type="dxa"/>
            <w:vAlign w:val="bottom"/>
          </w:tcPr>
          <w:p w14:paraId="0AA0A3E0" w14:textId="77777777" w:rsidR="00362B38" w:rsidRPr="00FC6DDA" w:rsidRDefault="00362B38" w:rsidP="00C33ABB">
            <w:pPr>
              <w:jc w:val="center"/>
            </w:pPr>
            <w:r w:rsidRPr="00FC6DDA">
              <w:t>0,29</w:t>
            </w:r>
          </w:p>
        </w:tc>
        <w:tc>
          <w:tcPr>
            <w:tcW w:w="919" w:type="dxa"/>
            <w:vAlign w:val="bottom"/>
          </w:tcPr>
          <w:p w14:paraId="4FBB7ED9" w14:textId="77777777" w:rsidR="00362B38" w:rsidRPr="00FC6DDA" w:rsidRDefault="00362B38" w:rsidP="00C33ABB">
            <w:pPr>
              <w:jc w:val="center"/>
            </w:pPr>
            <w:r w:rsidRPr="00FC6DDA">
              <w:t>0,30</w:t>
            </w:r>
          </w:p>
        </w:tc>
      </w:tr>
    </w:tbl>
    <w:p w14:paraId="3F1F48AA" w14:textId="64EB228D" w:rsidR="00362B38" w:rsidRPr="00FC6DDA" w:rsidRDefault="00F25AA8" w:rsidP="00362B38">
      <w:pPr>
        <w:rPr>
          <w:sz w:val="20"/>
          <w:szCs w:val="20"/>
          <w:lang w:val="en-US"/>
        </w:rPr>
      </w:pPr>
      <w:r w:rsidRPr="00FC6DDA">
        <w:rPr>
          <w:sz w:val="20"/>
          <w:szCs w:val="20"/>
          <w:lang w:val="en-US"/>
        </w:rPr>
        <w:t>Note</w:t>
      </w:r>
      <w:r w:rsidR="00362B38" w:rsidRPr="00FC6DDA">
        <w:rPr>
          <w:sz w:val="20"/>
          <w:szCs w:val="20"/>
          <w:lang w:val="en-US"/>
        </w:rPr>
        <w:t xml:space="preserve"> – </w:t>
      </w:r>
      <w:r w:rsidR="008A2209" w:rsidRPr="00FC6DDA">
        <w:rPr>
          <w:sz w:val="20"/>
          <w:szCs w:val="20"/>
          <w:lang w:val="en-US"/>
        </w:rPr>
        <w:t>In accordance with sources</w:t>
      </w:r>
      <w:r w:rsidR="00362B38" w:rsidRPr="00FC6DDA">
        <w:rPr>
          <w:sz w:val="20"/>
          <w:szCs w:val="20"/>
          <w:lang w:val="en-US"/>
        </w:rPr>
        <w:t xml:space="preserve"> [</w:t>
      </w:r>
      <w:r w:rsidR="00E070BA" w:rsidRPr="00FC6DDA">
        <w:rPr>
          <w:sz w:val="20"/>
          <w:szCs w:val="20"/>
          <w:lang w:val="en-US"/>
        </w:rPr>
        <w:t>12</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362B38" w:rsidRPr="00FC6DDA">
        <w:rPr>
          <w:sz w:val="20"/>
          <w:szCs w:val="20"/>
          <w:lang w:val="en-US"/>
        </w:rPr>
        <w:t>]</w:t>
      </w:r>
    </w:p>
    <w:p w14:paraId="1AEA8CD4" w14:textId="77777777" w:rsidR="00FD499A" w:rsidRPr="00FC6DDA" w:rsidRDefault="00FD499A" w:rsidP="00362B38">
      <w:pPr>
        <w:rPr>
          <w:sz w:val="20"/>
          <w:szCs w:val="20"/>
          <w:lang w:val="en-US"/>
        </w:rPr>
      </w:pPr>
    </w:p>
    <w:p w14:paraId="4C0AFAFF" w14:textId="77777777" w:rsidR="00FD499A" w:rsidRPr="00FC6DDA" w:rsidRDefault="00FD499A" w:rsidP="00362B38">
      <w:pPr>
        <w:rPr>
          <w:sz w:val="20"/>
          <w:szCs w:val="20"/>
          <w:lang w:val="en-US"/>
        </w:rPr>
      </w:pPr>
    </w:p>
    <w:p w14:paraId="089AC870" w14:textId="756937DE" w:rsidR="00362B38" w:rsidRPr="00FC6DDA" w:rsidRDefault="00362B38" w:rsidP="00FC2DED">
      <w:pPr>
        <w:ind w:firstLine="540"/>
        <w:rPr>
          <w:sz w:val="28"/>
          <w:szCs w:val="28"/>
        </w:rPr>
      </w:pPr>
      <w:r w:rsidRPr="00FC6DDA">
        <w:rPr>
          <w:noProof/>
          <w:sz w:val="28"/>
          <w:szCs w:val="28"/>
          <w:lang w:val="en-GB" w:eastAsia="en-GB"/>
        </w:rPr>
        <mc:AlternateContent>
          <mc:Choice Requires="wps">
            <w:drawing>
              <wp:anchor distT="0" distB="0" distL="114300" distR="114300" simplePos="0" relativeHeight="251659264" behindDoc="0" locked="0" layoutInCell="1" allowOverlap="1" wp14:anchorId="154346B7" wp14:editId="2F162309">
                <wp:simplePos x="0" y="0"/>
                <wp:positionH relativeFrom="column">
                  <wp:posOffset>342021</wp:posOffset>
                </wp:positionH>
                <wp:positionV relativeFrom="paragraph">
                  <wp:posOffset>202858</wp:posOffset>
                </wp:positionV>
                <wp:extent cx="575517" cy="26552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575517" cy="265528"/>
                        </a:xfrm>
                        <a:prstGeom prst="rect">
                          <a:avLst/>
                        </a:prstGeom>
                        <a:solidFill>
                          <a:schemeClr val="lt1"/>
                        </a:solidFill>
                        <a:ln w="6350">
                          <a:noFill/>
                        </a:ln>
                      </wps:spPr>
                      <wps:txbx>
                        <w:txbxContent>
                          <w:p w14:paraId="251A5A08" w14:textId="77777777" w:rsidR="000A02BC" w:rsidRPr="005D33BD" w:rsidRDefault="000A02BC" w:rsidP="00362B38">
                            <w:pPr>
                              <w:jc w:val="center"/>
                              <w:rPr>
                                <w:sz w:val="21"/>
                                <w:szCs w:val="21"/>
                              </w:rPr>
                            </w:pPr>
                            <w:r w:rsidRPr="005D33BD">
                              <w:rPr>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346B7" id="_x0000_t202" coordsize="21600,21600" o:spt="202" path="m,l,21600r21600,l21600,xe">
                <v:stroke joinstyle="miter"/>
                <v:path gradientshapeok="t" o:connecttype="rect"/>
              </v:shapetype>
              <v:shape id="Надпись 2" o:spid="_x0000_s1026" type="#_x0000_t202" style="position:absolute;left:0;text-align:left;margin-left:26.95pt;margin-top:15.95pt;width:45.3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" fillcolor="white [3201]" stroked="f" strokeweight=".5pt">
                <v:textbox>
                  <w:txbxContent>
                    <w:p w14:paraId="251A5A08" w14:textId="77777777" w:rsidR="000A02BC" w:rsidRPr="005D33BD" w:rsidRDefault="000A02BC" w:rsidP="00362B38">
                      <w:pPr>
                        <w:jc w:val="center"/>
                        <w:rPr>
                          <w:sz w:val="21"/>
                          <w:szCs w:val="21"/>
                        </w:rPr>
                      </w:pPr>
                      <w:r w:rsidRPr="005D33BD">
                        <w:rPr>
                          <w:sz w:val="21"/>
                          <w:szCs w:val="21"/>
                        </w:rPr>
                        <w:t>%</w:t>
                      </w:r>
                    </w:p>
                  </w:txbxContent>
                </v:textbox>
              </v:shape>
            </w:pict>
          </mc:Fallback>
        </mc:AlternateContent>
      </w:r>
      <w:r w:rsidRPr="00FC6DDA">
        <w:rPr>
          <w:noProof/>
          <w:sz w:val="28"/>
          <w:szCs w:val="28"/>
          <w:lang w:val="en-GB" w:eastAsia="en-GB"/>
        </w:rPr>
        <w:drawing>
          <wp:inline distT="0" distB="0" distL="0" distR="0" wp14:anchorId="06C18071" wp14:editId="3059749D">
            <wp:extent cx="5486400" cy="289676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441BB0" w14:textId="66CCA466" w:rsidR="005D33BD" w:rsidRPr="00FC6DDA" w:rsidRDefault="008A2209" w:rsidP="005D33BD">
      <w:pPr>
        <w:ind w:firstLine="540"/>
        <w:rPr>
          <w:sz w:val="20"/>
          <w:szCs w:val="20"/>
          <w:lang w:val="en-US"/>
        </w:rPr>
      </w:pPr>
      <w:r w:rsidRPr="00FC6DDA">
        <w:rPr>
          <w:sz w:val="20"/>
          <w:szCs w:val="20"/>
          <w:lang w:val="en-US"/>
        </w:rPr>
        <w:t>Note</w:t>
      </w:r>
      <w:r w:rsidR="005D33BD" w:rsidRPr="00FC6DDA">
        <w:rPr>
          <w:sz w:val="20"/>
          <w:szCs w:val="20"/>
          <w:lang w:val="en-US"/>
        </w:rPr>
        <w:t xml:space="preserve"> – </w:t>
      </w:r>
      <w:r w:rsidRPr="00FC6DDA">
        <w:rPr>
          <w:sz w:val="20"/>
          <w:szCs w:val="20"/>
          <w:lang w:val="en-US"/>
        </w:rPr>
        <w:t>In accordance with sources</w:t>
      </w:r>
      <w:r w:rsidR="005D33BD" w:rsidRPr="00FC6DDA">
        <w:rPr>
          <w:sz w:val="20"/>
          <w:szCs w:val="20"/>
          <w:lang w:val="en-US"/>
        </w:rPr>
        <w:t xml:space="preserve"> [</w:t>
      </w:r>
      <w:r w:rsidR="00E070BA" w:rsidRPr="00FC6DDA">
        <w:rPr>
          <w:sz w:val="20"/>
          <w:szCs w:val="20"/>
          <w:lang w:val="en-US"/>
        </w:rPr>
        <w:t>12</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5D33BD" w:rsidRPr="00FC6DDA">
        <w:rPr>
          <w:sz w:val="20"/>
          <w:szCs w:val="20"/>
          <w:lang w:val="en-US"/>
        </w:rPr>
        <w:t>]</w:t>
      </w:r>
    </w:p>
    <w:p w14:paraId="3EB17A8F" w14:textId="77777777" w:rsidR="005D33BD" w:rsidRPr="00FC6DDA" w:rsidRDefault="005D33BD" w:rsidP="00362B38">
      <w:pPr>
        <w:ind w:firstLine="567"/>
        <w:jc w:val="both"/>
        <w:rPr>
          <w:lang w:val="en-US"/>
        </w:rPr>
      </w:pPr>
    </w:p>
    <w:p w14:paraId="35082A15" w14:textId="2AB43713" w:rsidR="00362B38" w:rsidRPr="00FC6DDA" w:rsidRDefault="008A2209" w:rsidP="00EE4EA2">
      <w:pPr>
        <w:ind w:firstLine="567"/>
        <w:jc w:val="center"/>
        <w:rPr>
          <w:lang w:val="en-US"/>
        </w:rPr>
      </w:pPr>
      <w:r w:rsidRPr="00FC6DDA">
        <w:rPr>
          <w:lang w:val="en-US"/>
        </w:rPr>
        <w:t>Figure</w:t>
      </w:r>
      <w:r w:rsidR="00362B38" w:rsidRPr="00FC6DDA">
        <w:rPr>
          <w:lang w:val="en-US"/>
        </w:rPr>
        <w:t xml:space="preserve"> 1 – </w:t>
      </w:r>
      <w:r w:rsidRPr="00FC6DDA">
        <w:rPr>
          <w:lang w:val="en-US"/>
        </w:rPr>
        <w:t>Dynamics of the nominal contribution of the tourism industry to the GRP of Pavlodar region</w:t>
      </w:r>
      <w:r w:rsidR="00EE4EA2" w:rsidRPr="00FC6DDA">
        <w:rPr>
          <w:lang w:val="en-US"/>
        </w:rPr>
        <w:t>, %</w:t>
      </w:r>
    </w:p>
    <w:p w14:paraId="3563AE45" w14:textId="77777777" w:rsidR="00FD499A" w:rsidRPr="00FC6DDA" w:rsidRDefault="00FD499A" w:rsidP="00FD499A">
      <w:pPr>
        <w:widowControl w:val="0"/>
        <w:ind w:firstLine="567"/>
        <w:jc w:val="both"/>
        <w:rPr>
          <w:lang w:val="en-US"/>
        </w:rPr>
      </w:pPr>
    </w:p>
    <w:p w14:paraId="54ACAD18" w14:textId="77777777" w:rsidR="00362B38" w:rsidRPr="00FC6DDA" w:rsidRDefault="00362B38" w:rsidP="00DB05EB">
      <w:pPr>
        <w:widowControl w:val="0"/>
        <w:ind w:firstLine="567"/>
        <w:jc w:val="both"/>
        <w:rPr>
          <w:lang w:val="en-US"/>
        </w:rPr>
      </w:pPr>
    </w:p>
    <w:p w14:paraId="2F6127A0" w14:textId="083A9852" w:rsidR="005D33BD" w:rsidRPr="00FC6DDA" w:rsidRDefault="008A2209" w:rsidP="005D33BD">
      <w:pPr>
        <w:rPr>
          <w:lang w:val="en-US"/>
        </w:rPr>
      </w:pPr>
      <w:r w:rsidRPr="00FC6DDA">
        <w:rPr>
          <w:lang w:val="en-US"/>
        </w:rPr>
        <w:t>Table</w:t>
      </w:r>
      <w:r w:rsidR="005D33BD" w:rsidRPr="00FC6DDA">
        <w:rPr>
          <w:lang w:val="en-US"/>
        </w:rPr>
        <w:t xml:space="preserve"> 2 – </w:t>
      </w:r>
      <w:r w:rsidRPr="00FC6DDA">
        <w:rPr>
          <w:lang w:val="en-US"/>
        </w:rPr>
        <w:t>Dynamics of the provision of services related to tourism activities in the context of cities, districts of Pavlodar region</w:t>
      </w:r>
      <w:r w:rsidR="00EE4EA2" w:rsidRPr="00FC6DDA">
        <w:rPr>
          <w:lang w:val="en-US"/>
        </w:rPr>
        <w:t>, a thousand tenge</w:t>
      </w:r>
    </w:p>
    <w:p w14:paraId="3D39E02B" w14:textId="29BBABA1" w:rsidR="005D33BD" w:rsidRPr="00FC6DDA" w:rsidRDefault="005D33BD" w:rsidP="005D33BD">
      <w:pPr>
        <w:jc w:val="right"/>
        <w:rPr>
          <w:lang w:val="en-US"/>
        </w:rPr>
      </w:pPr>
    </w:p>
    <w:tbl>
      <w:tblPr>
        <w:tblStyle w:val="TableGrid"/>
        <w:tblW w:w="0" w:type="auto"/>
        <w:tblLook w:val="04A0" w:firstRow="1" w:lastRow="0" w:firstColumn="1" w:lastColumn="0" w:noHBand="0" w:noVBand="1"/>
      </w:tblPr>
      <w:tblGrid>
        <w:gridCol w:w="2875"/>
        <w:gridCol w:w="1350"/>
        <w:gridCol w:w="1351"/>
        <w:gridCol w:w="1350"/>
        <w:gridCol w:w="1351"/>
        <w:gridCol w:w="1351"/>
      </w:tblGrid>
      <w:tr w:rsidR="005D33BD" w:rsidRPr="00FC6DDA" w14:paraId="45906B3D" w14:textId="77777777" w:rsidTr="00C33ABB">
        <w:tc>
          <w:tcPr>
            <w:tcW w:w="2875" w:type="dxa"/>
            <w:vMerge w:val="restart"/>
          </w:tcPr>
          <w:p w14:paraId="7059B08D" w14:textId="562A7C43" w:rsidR="005D33BD" w:rsidRPr="00FC6DDA" w:rsidRDefault="008A2209" w:rsidP="00EE4EA2">
            <w:pPr>
              <w:jc w:val="center"/>
              <w:rPr>
                <w:lang w:val="en-US"/>
              </w:rPr>
            </w:pPr>
            <w:r w:rsidRPr="00FC6DDA">
              <w:rPr>
                <w:lang w:val="en-US"/>
              </w:rPr>
              <w:t>Cit</w:t>
            </w:r>
            <w:r w:rsidR="00EE4EA2" w:rsidRPr="00FC6DDA">
              <w:rPr>
                <w:lang w:val="en-US"/>
              </w:rPr>
              <w:t>y</w:t>
            </w:r>
            <w:r w:rsidRPr="00FC6DDA">
              <w:rPr>
                <w:lang w:val="en-US"/>
              </w:rPr>
              <w:t xml:space="preserve"> and district</w:t>
            </w:r>
          </w:p>
        </w:tc>
        <w:tc>
          <w:tcPr>
            <w:tcW w:w="6753" w:type="dxa"/>
            <w:gridSpan w:val="5"/>
          </w:tcPr>
          <w:p w14:paraId="3BD716BF" w14:textId="00E9DD62" w:rsidR="005D33BD" w:rsidRPr="00FC6DDA" w:rsidRDefault="00EE4EA2" w:rsidP="00C33ABB">
            <w:pPr>
              <w:jc w:val="center"/>
              <w:rPr>
                <w:lang w:val="en-US"/>
              </w:rPr>
            </w:pPr>
            <w:r w:rsidRPr="00FC6DDA">
              <w:rPr>
                <w:lang w:val="en-US"/>
              </w:rPr>
              <w:t>Year</w:t>
            </w:r>
          </w:p>
        </w:tc>
      </w:tr>
      <w:tr w:rsidR="005D33BD" w:rsidRPr="00FC6DDA" w14:paraId="0F0F315C" w14:textId="77777777" w:rsidTr="00C33ABB">
        <w:tc>
          <w:tcPr>
            <w:tcW w:w="2875" w:type="dxa"/>
            <w:vMerge/>
          </w:tcPr>
          <w:p w14:paraId="506ED26F" w14:textId="77777777" w:rsidR="005D33BD" w:rsidRPr="00FC6DDA" w:rsidRDefault="005D33BD" w:rsidP="00C33ABB">
            <w:pPr>
              <w:jc w:val="center"/>
            </w:pPr>
          </w:p>
        </w:tc>
        <w:tc>
          <w:tcPr>
            <w:tcW w:w="1350" w:type="dxa"/>
          </w:tcPr>
          <w:p w14:paraId="468BCCE8" w14:textId="77777777" w:rsidR="005D33BD" w:rsidRPr="00FC6DDA" w:rsidRDefault="005D33BD" w:rsidP="00C33ABB">
            <w:pPr>
              <w:jc w:val="center"/>
            </w:pPr>
            <w:r w:rsidRPr="00FC6DDA">
              <w:t>2015</w:t>
            </w:r>
          </w:p>
        </w:tc>
        <w:tc>
          <w:tcPr>
            <w:tcW w:w="1351" w:type="dxa"/>
          </w:tcPr>
          <w:p w14:paraId="7C40BF49" w14:textId="77777777" w:rsidR="005D33BD" w:rsidRPr="00FC6DDA" w:rsidRDefault="005D33BD" w:rsidP="00C33ABB">
            <w:pPr>
              <w:jc w:val="center"/>
            </w:pPr>
            <w:r w:rsidRPr="00FC6DDA">
              <w:t>2016</w:t>
            </w:r>
          </w:p>
        </w:tc>
        <w:tc>
          <w:tcPr>
            <w:tcW w:w="1350" w:type="dxa"/>
          </w:tcPr>
          <w:p w14:paraId="5AF76002" w14:textId="77777777" w:rsidR="005D33BD" w:rsidRPr="00FC6DDA" w:rsidRDefault="005D33BD" w:rsidP="00C33ABB">
            <w:pPr>
              <w:jc w:val="center"/>
            </w:pPr>
            <w:r w:rsidRPr="00FC6DDA">
              <w:t>2017</w:t>
            </w:r>
          </w:p>
        </w:tc>
        <w:tc>
          <w:tcPr>
            <w:tcW w:w="1351" w:type="dxa"/>
          </w:tcPr>
          <w:p w14:paraId="5F2B1CBE" w14:textId="77777777" w:rsidR="005D33BD" w:rsidRPr="00FC6DDA" w:rsidRDefault="005D33BD" w:rsidP="00C33ABB">
            <w:pPr>
              <w:jc w:val="center"/>
            </w:pPr>
            <w:r w:rsidRPr="00FC6DDA">
              <w:t>2018</w:t>
            </w:r>
          </w:p>
        </w:tc>
        <w:tc>
          <w:tcPr>
            <w:tcW w:w="1351" w:type="dxa"/>
          </w:tcPr>
          <w:p w14:paraId="13FA9412" w14:textId="77777777" w:rsidR="005D33BD" w:rsidRPr="00FC6DDA" w:rsidRDefault="005D33BD" w:rsidP="00C33ABB">
            <w:pPr>
              <w:jc w:val="center"/>
            </w:pPr>
            <w:r w:rsidRPr="00FC6DDA">
              <w:t>2019</w:t>
            </w:r>
          </w:p>
        </w:tc>
      </w:tr>
      <w:tr w:rsidR="005D33BD" w:rsidRPr="00FC6DDA" w14:paraId="2CBEAE9B" w14:textId="77777777" w:rsidTr="00C33ABB">
        <w:tc>
          <w:tcPr>
            <w:tcW w:w="2875" w:type="dxa"/>
          </w:tcPr>
          <w:p w14:paraId="54E56073" w14:textId="45A66569" w:rsidR="005D33BD" w:rsidRPr="00FC6DDA" w:rsidRDefault="008A2209" w:rsidP="00C33ABB">
            <w:pPr>
              <w:jc w:val="center"/>
              <w:rPr>
                <w:lang w:val="en-US"/>
              </w:rPr>
            </w:pPr>
            <w:r w:rsidRPr="00FC6DDA">
              <w:rPr>
                <w:lang w:val="en-US"/>
              </w:rPr>
              <w:t>Pavlodar region</w:t>
            </w:r>
          </w:p>
        </w:tc>
        <w:tc>
          <w:tcPr>
            <w:tcW w:w="1350" w:type="dxa"/>
            <w:vAlign w:val="bottom"/>
          </w:tcPr>
          <w:p w14:paraId="7EB2074C" w14:textId="77777777" w:rsidR="005D33BD" w:rsidRPr="00FC6DDA" w:rsidRDefault="005D33BD" w:rsidP="00C33ABB">
            <w:pPr>
              <w:jc w:val="center"/>
            </w:pPr>
            <w:r w:rsidRPr="00FC6DDA">
              <w:t>9 592 200</w:t>
            </w:r>
          </w:p>
        </w:tc>
        <w:tc>
          <w:tcPr>
            <w:tcW w:w="1351" w:type="dxa"/>
            <w:vAlign w:val="bottom"/>
          </w:tcPr>
          <w:p w14:paraId="0ECEE18D" w14:textId="77777777" w:rsidR="005D33BD" w:rsidRPr="00FC6DDA" w:rsidRDefault="005D33BD" w:rsidP="00C33ABB">
            <w:pPr>
              <w:jc w:val="center"/>
            </w:pPr>
            <w:r w:rsidRPr="00FC6DDA">
              <w:t>8 668 100</w:t>
            </w:r>
          </w:p>
        </w:tc>
        <w:tc>
          <w:tcPr>
            <w:tcW w:w="1350" w:type="dxa"/>
            <w:vAlign w:val="bottom"/>
          </w:tcPr>
          <w:p w14:paraId="31AFAA47" w14:textId="77777777" w:rsidR="005D33BD" w:rsidRPr="00FC6DDA" w:rsidRDefault="005D33BD" w:rsidP="00C33ABB">
            <w:pPr>
              <w:jc w:val="center"/>
            </w:pPr>
            <w:r w:rsidRPr="00FC6DDA">
              <w:t>9 886 100</w:t>
            </w:r>
          </w:p>
        </w:tc>
        <w:tc>
          <w:tcPr>
            <w:tcW w:w="1351" w:type="dxa"/>
            <w:vAlign w:val="bottom"/>
          </w:tcPr>
          <w:p w14:paraId="3B242748" w14:textId="77777777" w:rsidR="005D33BD" w:rsidRPr="00FC6DDA" w:rsidRDefault="005D33BD" w:rsidP="00C33ABB">
            <w:pPr>
              <w:jc w:val="center"/>
            </w:pPr>
            <w:r w:rsidRPr="00FC6DDA">
              <w:t>7</w:t>
            </w:r>
            <w:r w:rsidRPr="00FC6DDA">
              <w:rPr>
                <w:lang w:val="kk-KZ"/>
              </w:rPr>
              <w:t> </w:t>
            </w:r>
            <w:r w:rsidRPr="00FC6DDA">
              <w:t>989 000</w:t>
            </w:r>
          </w:p>
        </w:tc>
        <w:tc>
          <w:tcPr>
            <w:tcW w:w="1351" w:type="dxa"/>
            <w:vAlign w:val="bottom"/>
          </w:tcPr>
          <w:p w14:paraId="7503C58D" w14:textId="77777777" w:rsidR="005D33BD" w:rsidRPr="00FC6DDA" w:rsidRDefault="005D33BD" w:rsidP="00C33ABB">
            <w:pPr>
              <w:jc w:val="center"/>
            </w:pPr>
            <w:r w:rsidRPr="00FC6DDA">
              <w:t>8 544 400</w:t>
            </w:r>
          </w:p>
        </w:tc>
      </w:tr>
      <w:tr w:rsidR="005D33BD" w:rsidRPr="00FC6DDA" w14:paraId="16050046" w14:textId="77777777" w:rsidTr="00C33ABB">
        <w:tc>
          <w:tcPr>
            <w:tcW w:w="2875" w:type="dxa"/>
          </w:tcPr>
          <w:p w14:paraId="2A3D37DE" w14:textId="5D4F6660" w:rsidR="005D33BD" w:rsidRPr="00FC6DDA" w:rsidRDefault="008A2209" w:rsidP="00C33ABB">
            <w:pPr>
              <w:jc w:val="center"/>
              <w:rPr>
                <w:lang w:val="en-US"/>
              </w:rPr>
            </w:pPr>
            <w:r w:rsidRPr="00FC6DDA">
              <w:rPr>
                <w:lang w:val="en-US"/>
              </w:rPr>
              <w:t>Pavlodar</w:t>
            </w:r>
          </w:p>
        </w:tc>
        <w:tc>
          <w:tcPr>
            <w:tcW w:w="1350" w:type="dxa"/>
            <w:vAlign w:val="bottom"/>
          </w:tcPr>
          <w:p w14:paraId="09950509" w14:textId="77777777" w:rsidR="005D33BD" w:rsidRPr="00FC6DDA" w:rsidRDefault="005D33BD" w:rsidP="00C33ABB">
            <w:pPr>
              <w:pStyle w:val="a"/>
              <w:ind w:left="57"/>
              <w:jc w:val="center"/>
              <w:rPr>
                <w:rFonts w:ascii="Times New Roman" w:hAnsi="Times New Roman"/>
                <w:sz w:val="20"/>
              </w:rPr>
            </w:pPr>
            <w:r w:rsidRPr="00FC6DDA">
              <w:rPr>
                <w:rFonts w:ascii="Times New Roman" w:hAnsi="Times New Roman"/>
                <w:sz w:val="20"/>
              </w:rPr>
              <w:t>6 323 200</w:t>
            </w:r>
          </w:p>
        </w:tc>
        <w:tc>
          <w:tcPr>
            <w:tcW w:w="1351" w:type="dxa"/>
            <w:vAlign w:val="bottom"/>
          </w:tcPr>
          <w:p w14:paraId="34EEE564" w14:textId="77777777" w:rsidR="005D33BD" w:rsidRPr="00FC6DDA" w:rsidRDefault="005D33BD" w:rsidP="00C33ABB">
            <w:pPr>
              <w:pStyle w:val="a"/>
              <w:ind w:left="57"/>
              <w:jc w:val="center"/>
              <w:rPr>
                <w:rFonts w:ascii="Times New Roman" w:hAnsi="Times New Roman"/>
                <w:sz w:val="20"/>
              </w:rPr>
            </w:pPr>
            <w:r w:rsidRPr="00FC6DDA">
              <w:rPr>
                <w:rFonts w:ascii="Times New Roman" w:hAnsi="Times New Roman"/>
                <w:sz w:val="20"/>
              </w:rPr>
              <w:t>5 007 300</w:t>
            </w:r>
          </w:p>
        </w:tc>
        <w:tc>
          <w:tcPr>
            <w:tcW w:w="1350" w:type="dxa"/>
            <w:vAlign w:val="bottom"/>
          </w:tcPr>
          <w:p w14:paraId="4BE2ECDE" w14:textId="77777777" w:rsidR="005D33BD" w:rsidRPr="00FC6DDA" w:rsidRDefault="005D33BD" w:rsidP="00C33ABB">
            <w:pPr>
              <w:ind w:left="57"/>
              <w:jc w:val="center"/>
              <w:rPr>
                <w:rFonts w:eastAsia="Arial Unicode MS"/>
              </w:rPr>
            </w:pPr>
            <w:r w:rsidRPr="00FC6DDA">
              <w:t>5 598 400</w:t>
            </w:r>
          </w:p>
        </w:tc>
        <w:tc>
          <w:tcPr>
            <w:tcW w:w="1351" w:type="dxa"/>
            <w:vAlign w:val="bottom"/>
          </w:tcPr>
          <w:p w14:paraId="5BA5DBAF" w14:textId="77777777" w:rsidR="005D33BD" w:rsidRPr="00FC6DDA" w:rsidRDefault="005D33BD" w:rsidP="00C33ABB">
            <w:pPr>
              <w:jc w:val="center"/>
            </w:pPr>
            <w:r w:rsidRPr="00FC6DDA">
              <w:t>3</w:t>
            </w:r>
            <w:r w:rsidRPr="00FC6DDA">
              <w:rPr>
                <w:lang w:val="kk-KZ"/>
              </w:rPr>
              <w:t> </w:t>
            </w:r>
            <w:r w:rsidRPr="00FC6DDA">
              <w:t>168 600</w:t>
            </w:r>
          </w:p>
        </w:tc>
        <w:tc>
          <w:tcPr>
            <w:tcW w:w="1351" w:type="dxa"/>
            <w:vAlign w:val="bottom"/>
          </w:tcPr>
          <w:p w14:paraId="04E9BD04" w14:textId="77777777" w:rsidR="005D33BD" w:rsidRPr="00FC6DDA" w:rsidRDefault="005D33BD" w:rsidP="00C33ABB">
            <w:pPr>
              <w:jc w:val="center"/>
            </w:pPr>
            <w:r w:rsidRPr="00FC6DDA">
              <w:t>3 845 900</w:t>
            </w:r>
          </w:p>
        </w:tc>
      </w:tr>
      <w:tr w:rsidR="005D33BD" w:rsidRPr="00FC6DDA" w14:paraId="3BB00352" w14:textId="77777777" w:rsidTr="00C33ABB">
        <w:tc>
          <w:tcPr>
            <w:tcW w:w="2875" w:type="dxa"/>
          </w:tcPr>
          <w:p w14:paraId="58E82B49" w14:textId="31FE4FD7" w:rsidR="005D33BD" w:rsidRPr="00FC6DDA" w:rsidRDefault="008A2209" w:rsidP="00C33ABB">
            <w:pPr>
              <w:jc w:val="center"/>
              <w:rPr>
                <w:lang w:val="en-US"/>
              </w:rPr>
            </w:pPr>
            <w:r w:rsidRPr="00FC6DDA">
              <w:rPr>
                <w:lang w:val="en-US"/>
              </w:rPr>
              <w:t>Aksu</w:t>
            </w:r>
          </w:p>
        </w:tc>
        <w:tc>
          <w:tcPr>
            <w:tcW w:w="1350" w:type="dxa"/>
            <w:vAlign w:val="bottom"/>
          </w:tcPr>
          <w:p w14:paraId="5DD16FA7"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401 200</w:t>
            </w:r>
          </w:p>
        </w:tc>
        <w:tc>
          <w:tcPr>
            <w:tcW w:w="1351" w:type="dxa"/>
            <w:vAlign w:val="bottom"/>
          </w:tcPr>
          <w:p w14:paraId="46B5353B"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406 500</w:t>
            </w:r>
          </w:p>
        </w:tc>
        <w:tc>
          <w:tcPr>
            <w:tcW w:w="1350" w:type="dxa"/>
            <w:vAlign w:val="bottom"/>
          </w:tcPr>
          <w:p w14:paraId="30C7F0ED" w14:textId="77777777" w:rsidR="005D33BD" w:rsidRPr="00FC6DDA" w:rsidRDefault="005D33BD" w:rsidP="00C33ABB">
            <w:pPr>
              <w:ind w:left="-57"/>
              <w:jc w:val="center"/>
              <w:rPr>
                <w:rFonts w:eastAsia="Arial Unicode MS"/>
              </w:rPr>
            </w:pPr>
            <w:r w:rsidRPr="00FC6DDA">
              <w:t>5</w:t>
            </w:r>
            <w:r w:rsidRPr="00FC6DDA">
              <w:rPr>
                <w:lang w:val="en-US"/>
              </w:rPr>
              <w:t>63</w:t>
            </w:r>
            <w:r w:rsidRPr="00FC6DDA">
              <w:t xml:space="preserve"> </w:t>
            </w:r>
            <w:r w:rsidRPr="00FC6DDA">
              <w:rPr>
                <w:lang w:val="en-US"/>
              </w:rPr>
              <w:t>3</w:t>
            </w:r>
            <w:r w:rsidRPr="00FC6DDA">
              <w:t>00</w:t>
            </w:r>
          </w:p>
        </w:tc>
        <w:tc>
          <w:tcPr>
            <w:tcW w:w="1351" w:type="dxa"/>
            <w:vAlign w:val="bottom"/>
          </w:tcPr>
          <w:p w14:paraId="01727B6F" w14:textId="77777777" w:rsidR="005D33BD" w:rsidRPr="00FC6DDA" w:rsidRDefault="005D33BD" w:rsidP="00C33ABB">
            <w:pPr>
              <w:ind w:left="-57"/>
              <w:jc w:val="center"/>
              <w:rPr>
                <w:rFonts w:eastAsia="Arial Unicode MS"/>
              </w:rPr>
            </w:pPr>
            <w:r w:rsidRPr="00FC6DDA">
              <w:t>625 900</w:t>
            </w:r>
          </w:p>
        </w:tc>
        <w:tc>
          <w:tcPr>
            <w:tcW w:w="1351" w:type="dxa"/>
            <w:vAlign w:val="bottom"/>
          </w:tcPr>
          <w:p w14:paraId="1FF601CE" w14:textId="77777777" w:rsidR="005D33BD" w:rsidRPr="00FC6DDA" w:rsidRDefault="005D33BD" w:rsidP="00C33ABB">
            <w:pPr>
              <w:ind w:left="-57"/>
              <w:jc w:val="center"/>
              <w:rPr>
                <w:rFonts w:eastAsia="Arial Unicode MS"/>
              </w:rPr>
            </w:pPr>
            <w:r w:rsidRPr="00FC6DDA">
              <w:rPr>
                <w:rFonts w:eastAsia="Arial Unicode MS"/>
              </w:rPr>
              <w:t>632 200</w:t>
            </w:r>
          </w:p>
        </w:tc>
      </w:tr>
      <w:tr w:rsidR="005D33BD" w:rsidRPr="00FC6DDA" w14:paraId="4028AAE6" w14:textId="77777777" w:rsidTr="00C33ABB">
        <w:tc>
          <w:tcPr>
            <w:tcW w:w="2875" w:type="dxa"/>
          </w:tcPr>
          <w:p w14:paraId="6A7C2AB4" w14:textId="2530658E" w:rsidR="005D33BD" w:rsidRPr="00FC6DDA" w:rsidRDefault="008A2209" w:rsidP="00C33ABB">
            <w:pPr>
              <w:jc w:val="center"/>
              <w:rPr>
                <w:lang w:val="en-US"/>
              </w:rPr>
            </w:pPr>
            <w:r w:rsidRPr="00FC6DDA">
              <w:rPr>
                <w:lang w:val="en-US"/>
              </w:rPr>
              <w:t>Ekibastuz</w:t>
            </w:r>
          </w:p>
        </w:tc>
        <w:tc>
          <w:tcPr>
            <w:tcW w:w="1350" w:type="dxa"/>
            <w:vAlign w:val="bottom"/>
          </w:tcPr>
          <w:p w14:paraId="387F2FAE"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731 800</w:t>
            </w:r>
          </w:p>
        </w:tc>
        <w:tc>
          <w:tcPr>
            <w:tcW w:w="1351" w:type="dxa"/>
            <w:vAlign w:val="bottom"/>
          </w:tcPr>
          <w:p w14:paraId="0254FC75"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956 900</w:t>
            </w:r>
          </w:p>
        </w:tc>
        <w:tc>
          <w:tcPr>
            <w:tcW w:w="1350" w:type="dxa"/>
            <w:vAlign w:val="bottom"/>
          </w:tcPr>
          <w:p w14:paraId="1165CA9B" w14:textId="77777777" w:rsidR="005D33BD" w:rsidRPr="00FC6DDA" w:rsidRDefault="005D33BD" w:rsidP="00C33ABB">
            <w:pPr>
              <w:jc w:val="center"/>
              <w:rPr>
                <w:rFonts w:eastAsia="Arial Unicode MS"/>
                <w:lang w:val="kk-KZ"/>
              </w:rPr>
            </w:pPr>
            <w:r w:rsidRPr="00FC6DDA">
              <w:t xml:space="preserve">1 203 </w:t>
            </w:r>
            <w:r w:rsidRPr="00FC6DDA">
              <w:rPr>
                <w:lang w:val="kk-KZ"/>
              </w:rPr>
              <w:t>700</w:t>
            </w:r>
          </w:p>
        </w:tc>
        <w:tc>
          <w:tcPr>
            <w:tcW w:w="1351" w:type="dxa"/>
            <w:vAlign w:val="bottom"/>
          </w:tcPr>
          <w:p w14:paraId="091A5556" w14:textId="77777777" w:rsidR="005D33BD" w:rsidRPr="00FC6DDA" w:rsidRDefault="005D33BD" w:rsidP="00C33ABB">
            <w:pPr>
              <w:jc w:val="center"/>
              <w:rPr>
                <w:rFonts w:eastAsia="Arial Unicode MS"/>
              </w:rPr>
            </w:pPr>
            <w:r w:rsidRPr="00FC6DDA">
              <w:t>1</w:t>
            </w:r>
            <w:r w:rsidRPr="00FC6DDA">
              <w:rPr>
                <w:lang w:val="kk-KZ"/>
              </w:rPr>
              <w:t> </w:t>
            </w:r>
            <w:r w:rsidRPr="00FC6DDA">
              <w:t>093 500</w:t>
            </w:r>
          </w:p>
        </w:tc>
        <w:tc>
          <w:tcPr>
            <w:tcW w:w="1351" w:type="dxa"/>
            <w:vAlign w:val="bottom"/>
          </w:tcPr>
          <w:p w14:paraId="52487120" w14:textId="77777777" w:rsidR="005D33BD" w:rsidRPr="00FC6DDA" w:rsidRDefault="005D33BD" w:rsidP="00C33ABB">
            <w:pPr>
              <w:jc w:val="center"/>
              <w:rPr>
                <w:rFonts w:eastAsia="Arial Unicode MS"/>
              </w:rPr>
            </w:pPr>
            <w:r w:rsidRPr="00FC6DDA">
              <w:rPr>
                <w:rFonts w:eastAsia="Arial Unicode MS"/>
              </w:rPr>
              <w:t>1 217 800</w:t>
            </w:r>
          </w:p>
        </w:tc>
      </w:tr>
      <w:tr w:rsidR="005D33BD" w:rsidRPr="00FC6DDA" w14:paraId="59AD30CE" w14:textId="77777777" w:rsidTr="00C33ABB">
        <w:tc>
          <w:tcPr>
            <w:tcW w:w="2875" w:type="dxa"/>
          </w:tcPr>
          <w:p w14:paraId="7330FDF6" w14:textId="104AD45F" w:rsidR="005D33BD" w:rsidRPr="00FC6DDA" w:rsidRDefault="008A2209" w:rsidP="00C33ABB">
            <w:pPr>
              <w:jc w:val="center"/>
              <w:rPr>
                <w:lang w:val="en-US"/>
              </w:rPr>
            </w:pPr>
            <w:r w:rsidRPr="00FC6DDA">
              <w:rPr>
                <w:lang w:val="en-US"/>
              </w:rPr>
              <w:t>Aktogay district</w:t>
            </w:r>
          </w:p>
        </w:tc>
        <w:tc>
          <w:tcPr>
            <w:tcW w:w="1350" w:type="dxa"/>
            <w:vAlign w:val="bottom"/>
          </w:tcPr>
          <w:p w14:paraId="398BC05A"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139 200</w:t>
            </w:r>
          </w:p>
        </w:tc>
        <w:tc>
          <w:tcPr>
            <w:tcW w:w="1351" w:type="dxa"/>
            <w:vAlign w:val="bottom"/>
          </w:tcPr>
          <w:p w14:paraId="415F0B72"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225 800</w:t>
            </w:r>
          </w:p>
        </w:tc>
        <w:tc>
          <w:tcPr>
            <w:tcW w:w="1350" w:type="dxa"/>
            <w:vAlign w:val="bottom"/>
          </w:tcPr>
          <w:p w14:paraId="7646EA94" w14:textId="77777777" w:rsidR="005D33BD" w:rsidRPr="00FC6DDA" w:rsidRDefault="005D33BD" w:rsidP="00C33ABB">
            <w:pPr>
              <w:jc w:val="center"/>
              <w:rPr>
                <w:rFonts w:eastAsia="Arial Unicode MS"/>
                <w:lang w:val="kk-KZ"/>
              </w:rPr>
            </w:pPr>
            <w:r w:rsidRPr="00FC6DDA">
              <w:rPr>
                <w:lang w:val="kk-KZ"/>
              </w:rPr>
              <w:t>198 200</w:t>
            </w:r>
          </w:p>
        </w:tc>
        <w:tc>
          <w:tcPr>
            <w:tcW w:w="1351" w:type="dxa"/>
            <w:vAlign w:val="bottom"/>
          </w:tcPr>
          <w:p w14:paraId="19A22BA0" w14:textId="77777777" w:rsidR="005D33BD" w:rsidRPr="00FC6DDA" w:rsidRDefault="005D33BD" w:rsidP="00C33ABB">
            <w:pPr>
              <w:jc w:val="center"/>
              <w:rPr>
                <w:rFonts w:eastAsia="Arial Unicode MS"/>
                <w:lang w:val="kk-KZ"/>
              </w:rPr>
            </w:pPr>
            <w:r w:rsidRPr="00FC6DDA">
              <w:rPr>
                <w:lang w:val="kk-KZ"/>
              </w:rPr>
              <w:t>209 700</w:t>
            </w:r>
          </w:p>
        </w:tc>
        <w:tc>
          <w:tcPr>
            <w:tcW w:w="1351" w:type="dxa"/>
            <w:vAlign w:val="bottom"/>
          </w:tcPr>
          <w:p w14:paraId="7D705657" w14:textId="77777777" w:rsidR="005D33BD" w:rsidRPr="00FC6DDA" w:rsidRDefault="005D33BD" w:rsidP="00C33ABB">
            <w:pPr>
              <w:jc w:val="center"/>
              <w:rPr>
                <w:rFonts w:eastAsia="Arial Unicode MS"/>
                <w:lang w:val="kk-KZ"/>
              </w:rPr>
            </w:pPr>
            <w:r w:rsidRPr="00FC6DDA">
              <w:rPr>
                <w:rFonts w:eastAsia="Arial Unicode MS"/>
                <w:lang w:val="kk-KZ"/>
              </w:rPr>
              <w:t>220 900</w:t>
            </w:r>
          </w:p>
        </w:tc>
      </w:tr>
      <w:tr w:rsidR="005D33BD" w:rsidRPr="00FC6DDA" w14:paraId="390392FF" w14:textId="77777777" w:rsidTr="00C33ABB">
        <w:tc>
          <w:tcPr>
            <w:tcW w:w="2875" w:type="dxa"/>
          </w:tcPr>
          <w:p w14:paraId="64362992" w14:textId="77B72ED0" w:rsidR="005D33BD" w:rsidRPr="00FC6DDA" w:rsidRDefault="008A2209" w:rsidP="00C33ABB">
            <w:pPr>
              <w:jc w:val="center"/>
              <w:rPr>
                <w:lang w:val="en-US"/>
              </w:rPr>
            </w:pPr>
            <w:r w:rsidRPr="00FC6DDA">
              <w:rPr>
                <w:lang w:val="en-US"/>
              </w:rPr>
              <w:t>Bayanaul district</w:t>
            </w:r>
          </w:p>
        </w:tc>
        <w:tc>
          <w:tcPr>
            <w:tcW w:w="1350" w:type="dxa"/>
            <w:vAlign w:val="bottom"/>
          </w:tcPr>
          <w:p w14:paraId="0CE5C4F9"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238 000</w:t>
            </w:r>
          </w:p>
        </w:tc>
        <w:tc>
          <w:tcPr>
            <w:tcW w:w="1351" w:type="dxa"/>
            <w:vAlign w:val="bottom"/>
          </w:tcPr>
          <w:p w14:paraId="65C22C64"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341 100</w:t>
            </w:r>
          </w:p>
        </w:tc>
        <w:tc>
          <w:tcPr>
            <w:tcW w:w="1350" w:type="dxa"/>
            <w:vAlign w:val="bottom"/>
          </w:tcPr>
          <w:p w14:paraId="652DF169" w14:textId="77777777" w:rsidR="005D33BD" w:rsidRPr="00FC6DDA" w:rsidRDefault="005D33BD" w:rsidP="00C33ABB">
            <w:pPr>
              <w:jc w:val="center"/>
              <w:rPr>
                <w:rFonts w:eastAsia="Arial Unicode MS"/>
              </w:rPr>
            </w:pPr>
            <w:r w:rsidRPr="00FC6DDA">
              <w:t>279  100</w:t>
            </w:r>
          </w:p>
        </w:tc>
        <w:tc>
          <w:tcPr>
            <w:tcW w:w="1351" w:type="dxa"/>
            <w:vAlign w:val="bottom"/>
          </w:tcPr>
          <w:p w14:paraId="2E93375E" w14:textId="77777777" w:rsidR="005D33BD" w:rsidRPr="00FC6DDA" w:rsidRDefault="005D33BD" w:rsidP="00C33ABB">
            <w:pPr>
              <w:jc w:val="center"/>
              <w:rPr>
                <w:rFonts w:eastAsia="Arial Unicode MS"/>
              </w:rPr>
            </w:pPr>
            <w:r w:rsidRPr="00FC6DDA">
              <w:t>329 800</w:t>
            </w:r>
          </w:p>
        </w:tc>
        <w:tc>
          <w:tcPr>
            <w:tcW w:w="1351" w:type="dxa"/>
            <w:vAlign w:val="bottom"/>
          </w:tcPr>
          <w:p w14:paraId="60BFCC0A" w14:textId="77777777" w:rsidR="005D33BD" w:rsidRPr="00FC6DDA" w:rsidRDefault="005D33BD" w:rsidP="00C33ABB">
            <w:pPr>
              <w:jc w:val="center"/>
              <w:rPr>
                <w:rFonts w:eastAsia="Arial Unicode MS"/>
              </w:rPr>
            </w:pPr>
            <w:r w:rsidRPr="00FC6DDA">
              <w:rPr>
                <w:rFonts w:eastAsia="Arial Unicode MS"/>
              </w:rPr>
              <w:t>375 800</w:t>
            </w:r>
          </w:p>
        </w:tc>
      </w:tr>
      <w:tr w:rsidR="005D33BD" w:rsidRPr="00FC6DDA" w14:paraId="3C194B09" w14:textId="77777777" w:rsidTr="00C33ABB">
        <w:tc>
          <w:tcPr>
            <w:tcW w:w="2875" w:type="dxa"/>
          </w:tcPr>
          <w:p w14:paraId="592B01AC" w14:textId="27ED9195" w:rsidR="005D33BD" w:rsidRPr="00FC6DDA" w:rsidRDefault="008A2209" w:rsidP="00C33ABB">
            <w:pPr>
              <w:jc w:val="center"/>
              <w:rPr>
                <w:lang w:val="en-US"/>
              </w:rPr>
            </w:pPr>
            <w:r w:rsidRPr="00FC6DDA">
              <w:rPr>
                <w:lang w:val="en-US"/>
              </w:rPr>
              <w:t>Zhelezinka district</w:t>
            </w:r>
          </w:p>
        </w:tc>
        <w:tc>
          <w:tcPr>
            <w:tcW w:w="1350" w:type="dxa"/>
            <w:vAlign w:val="bottom"/>
          </w:tcPr>
          <w:p w14:paraId="61EC16CC"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81 900</w:t>
            </w:r>
          </w:p>
        </w:tc>
        <w:tc>
          <w:tcPr>
            <w:tcW w:w="1351" w:type="dxa"/>
            <w:vAlign w:val="bottom"/>
          </w:tcPr>
          <w:p w14:paraId="39337EDB"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163 500</w:t>
            </w:r>
          </w:p>
        </w:tc>
        <w:tc>
          <w:tcPr>
            <w:tcW w:w="1350" w:type="dxa"/>
            <w:vAlign w:val="bottom"/>
          </w:tcPr>
          <w:p w14:paraId="07965CDF" w14:textId="77777777" w:rsidR="005D33BD" w:rsidRPr="00FC6DDA" w:rsidRDefault="005D33BD" w:rsidP="00C33ABB">
            <w:pPr>
              <w:jc w:val="center"/>
              <w:rPr>
                <w:rFonts w:eastAsia="Arial Unicode MS"/>
                <w:lang w:val="kk-KZ"/>
              </w:rPr>
            </w:pPr>
            <w:r w:rsidRPr="00FC6DDA">
              <w:t xml:space="preserve">216 </w:t>
            </w:r>
            <w:r w:rsidRPr="00FC6DDA">
              <w:rPr>
                <w:lang w:val="kk-KZ"/>
              </w:rPr>
              <w:t>900</w:t>
            </w:r>
          </w:p>
        </w:tc>
        <w:tc>
          <w:tcPr>
            <w:tcW w:w="1351" w:type="dxa"/>
            <w:vAlign w:val="bottom"/>
          </w:tcPr>
          <w:p w14:paraId="2E758B2A" w14:textId="77777777" w:rsidR="005D33BD" w:rsidRPr="00FC6DDA" w:rsidRDefault="005D33BD" w:rsidP="00C33ABB">
            <w:pPr>
              <w:jc w:val="center"/>
              <w:rPr>
                <w:rFonts w:eastAsia="Arial Unicode MS"/>
              </w:rPr>
            </w:pPr>
            <w:r w:rsidRPr="00FC6DDA">
              <w:t>228 700</w:t>
            </w:r>
          </w:p>
        </w:tc>
        <w:tc>
          <w:tcPr>
            <w:tcW w:w="1351" w:type="dxa"/>
            <w:vAlign w:val="bottom"/>
          </w:tcPr>
          <w:p w14:paraId="6E688DEA" w14:textId="77777777" w:rsidR="005D33BD" w:rsidRPr="00FC6DDA" w:rsidRDefault="005D33BD" w:rsidP="00C33ABB">
            <w:pPr>
              <w:jc w:val="center"/>
              <w:rPr>
                <w:rFonts w:eastAsia="Arial Unicode MS"/>
              </w:rPr>
            </w:pPr>
            <w:r w:rsidRPr="00FC6DDA">
              <w:rPr>
                <w:rFonts w:eastAsia="Arial Unicode MS"/>
              </w:rPr>
              <w:t>269 200</w:t>
            </w:r>
          </w:p>
        </w:tc>
      </w:tr>
      <w:tr w:rsidR="005D33BD" w:rsidRPr="00FC6DDA" w14:paraId="06BFDC4D" w14:textId="77777777" w:rsidTr="00C33ABB">
        <w:tc>
          <w:tcPr>
            <w:tcW w:w="2875" w:type="dxa"/>
          </w:tcPr>
          <w:p w14:paraId="31606A04" w14:textId="1D374BA7" w:rsidR="005D33BD" w:rsidRPr="00FC6DDA" w:rsidRDefault="008A2209" w:rsidP="00C33ABB">
            <w:pPr>
              <w:jc w:val="center"/>
              <w:rPr>
                <w:lang w:val="en-US"/>
              </w:rPr>
            </w:pPr>
            <w:r w:rsidRPr="00FC6DDA">
              <w:rPr>
                <w:lang w:val="en-US"/>
              </w:rPr>
              <w:t>Irtyshsk district</w:t>
            </w:r>
          </w:p>
        </w:tc>
        <w:tc>
          <w:tcPr>
            <w:tcW w:w="1350" w:type="dxa"/>
            <w:vAlign w:val="bottom"/>
          </w:tcPr>
          <w:p w14:paraId="5ACFFBCF"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145 600</w:t>
            </w:r>
          </w:p>
        </w:tc>
        <w:tc>
          <w:tcPr>
            <w:tcW w:w="1351" w:type="dxa"/>
            <w:vAlign w:val="bottom"/>
          </w:tcPr>
          <w:p w14:paraId="77FC24AA"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176 000</w:t>
            </w:r>
          </w:p>
        </w:tc>
        <w:tc>
          <w:tcPr>
            <w:tcW w:w="1350" w:type="dxa"/>
            <w:vAlign w:val="bottom"/>
          </w:tcPr>
          <w:p w14:paraId="1F178040" w14:textId="77777777" w:rsidR="005D33BD" w:rsidRPr="00FC6DDA" w:rsidRDefault="005D33BD" w:rsidP="00C33ABB">
            <w:pPr>
              <w:jc w:val="center"/>
              <w:rPr>
                <w:rFonts w:eastAsia="Arial Unicode MS"/>
              </w:rPr>
            </w:pPr>
            <w:r w:rsidRPr="00FC6DDA">
              <w:rPr>
                <w:lang w:val="kk-KZ"/>
              </w:rPr>
              <w:t xml:space="preserve">240 </w:t>
            </w:r>
            <w:r w:rsidRPr="00FC6DDA">
              <w:t>000</w:t>
            </w:r>
          </w:p>
        </w:tc>
        <w:tc>
          <w:tcPr>
            <w:tcW w:w="1351" w:type="dxa"/>
            <w:vAlign w:val="bottom"/>
          </w:tcPr>
          <w:p w14:paraId="639FDFB4" w14:textId="77777777" w:rsidR="005D33BD" w:rsidRPr="00FC6DDA" w:rsidRDefault="005D33BD" w:rsidP="00C33ABB">
            <w:pPr>
              <w:jc w:val="center"/>
              <w:rPr>
                <w:rFonts w:eastAsia="Arial Unicode MS"/>
              </w:rPr>
            </w:pPr>
            <w:r w:rsidRPr="00FC6DDA">
              <w:t>195 000</w:t>
            </w:r>
          </w:p>
        </w:tc>
        <w:tc>
          <w:tcPr>
            <w:tcW w:w="1351" w:type="dxa"/>
            <w:vAlign w:val="bottom"/>
          </w:tcPr>
          <w:p w14:paraId="0755EF09" w14:textId="77777777" w:rsidR="005D33BD" w:rsidRPr="00FC6DDA" w:rsidRDefault="005D33BD" w:rsidP="00C33ABB">
            <w:pPr>
              <w:jc w:val="center"/>
              <w:rPr>
                <w:rFonts w:eastAsia="Arial Unicode MS"/>
              </w:rPr>
            </w:pPr>
            <w:r w:rsidRPr="00FC6DDA">
              <w:rPr>
                <w:rFonts w:eastAsia="Arial Unicode MS"/>
              </w:rPr>
              <w:t>208 000</w:t>
            </w:r>
          </w:p>
        </w:tc>
      </w:tr>
      <w:tr w:rsidR="005D33BD" w:rsidRPr="00FC6DDA" w14:paraId="1768669D" w14:textId="77777777" w:rsidTr="00C33ABB">
        <w:tc>
          <w:tcPr>
            <w:tcW w:w="2875" w:type="dxa"/>
          </w:tcPr>
          <w:p w14:paraId="09733A03" w14:textId="36718259" w:rsidR="005D33BD" w:rsidRPr="00FC6DDA" w:rsidRDefault="008A2209" w:rsidP="00C33ABB">
            <w:pPr>
              <w:jc w:val="center"/>
              <w:rPr>
                <w:lang w:val="en-US"/>
              </w:rPr>
            </w:pPr>
            <w:r w:rsidRPr="00FC6DDA">
              <w:rPr>
                <w:lang w:val="en-US"/>
              </w:rPr>
              <w:t>Terenkol district</w:t>
            </w:r>
          </w:p>
        </w:tc>
        <w:tc>
          <w:tcPr>
            <w:tcW w:w="1350" w:type="dxa"/>
            <w:vAlign w:val="bottom"/>
          </w:tcPr>
          <w:p w14:paraId="248535DF"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153 600</w:t>
            </w:r>
          </w:p>
        </w:tc>
        <w:tc>
          <w:tcPr>
            <w:tcW w:w="1351" w:type="dxa"/>
            <w:vAlign w:val="bottom"/>
          </w:tcPr>
          <w:p w14:paraId="25706901" w14:textId="77777777" w:rsidR="005D33BD" w:rsidRPr="00FC6DDA" w:rsidRDefault="005D33BD" w:rsidP="00C33ABB">
            <w:pPr>
              <w:pStyle w:val="a"/>
              <w:jc w:val="center"/>
              <w:rPr>
                <w:rFonts w:ascii="Times New Roman" w:eastAsia="Arial Unicode MS" w:hAnsi="Times New Roman"/>
                <w:sz w:val="20"/>
                <w:lang w:val="kk-KZ"/>
              </w:rPr>
            </w:pPr>
            <w:r w:rsidRPr="00FC6DDA">
              <w:rPr>
                <w:rFonts w:ascii="Times New Roman" w:eastAsia="Arial Unicode MS" w:hAnsi="Times New Roman"/>
                <w:sz w:val="20"/>
                <w:lang w:val="kk-KZ"/>
              </w:rPr>
              <w:t>204 800</w:t>
            </w:r>
          </w:p>
        </w:tc>
        <w:tc>
          <w:tcPr>
            <w:tcW w:w="1350" w:type="dxa"/>
            <w:vAlign w:val="bottom"/>
          </w:tcPr>
          <w:p w14:paraId="64791FA8" w14:textId="77777777" w:rsidR="005D33BD" w:rsidRPr="00FC6DDA" w:rsidRDefault="005D33BD" w:rsidP="00C33ABB">
            <w:pPr>
              <w:jc w:val="center"/>
              <w:rPr>
                <w:rFonts w:eastAsia="Arial Unicode MS"/>
                <w:lang w:val="kk-KZ"/>
              </w:rPr>
            </w:pPr>
            <w:r w:rsidRPr="00FC6DDA">
              <w:t xml:space="preserve">218 </w:t>
            </w:r>
            <w:r w:rsidRPr="00FC6DDA">
              <w:rPr>
                <w:lang w:val="kk-KZ"/>
              </w:rPr>
              <w:t>400</w:t>
            </w:r>
          </w:p>
        </w:tc>
        <w:tc>
          <w:tcPr>
            <w:tcW w:w="1351" w:type="dxa"/>
            <w:vAlign w:val="bottom"/>
          </w:tcPr>
          <w:p w14:paraId="15C05723" w14:textId="77777777" w:rsidR="005D33BD" w:rsidRPr="00FC6DDA" w:rsidRDefault="005D33BD" w:rsidP="00C33ABB">
            <w:pPr>
              <w:jc w:val="center"/>
              <w:rPr>
                <w:rFonts w:eastAsia="Arial Unicode MS"/>
              </w:rPr>
            </w:pPr>
            <w:r w:rsidRPr="00FC6DDA">
              <w:t>243 400</w:t>
            </w:r>
          </w:p>
        </w:tc>
        <w:tc>
          <w:tcPr>
            <w:tcW w:w="1351" w:type="dxa"/>
            <w:vAlign w:val="bottom"/>
          </w:tcPr>
          <w:p w14:paraId="0EDB8ACC" w14:textId="77777777" w:rsidR="005D33BD" w:rsidRPr="00FC6DDA" w:rsidRDefault="005D33BD" w:rsidP="00C33ABB">
            <w:pPr>
              <w:jc w:val="center"/>
              <w:rPr>
                <w:rFonts w:eastAsia="Arial Unicode MS"/>
              </w:rPr>
            </w:pPr>
            <w:r w:rsidRPr="00FC6DDA">
              <w:rPr>
                <w:rFonts w:eastAsia="Arial Unicode MS"/>
              </w:rPr>
              <w:t>275 800</w:t>
            </w:r>
          </w:p>
        </w:tc>
      </w:tr>
      <w:tr w:rsidR="005D33BD" w:rsidRPr="00FC6DDA" w14:paraId="7EAC2EB5" w14:textId="77777777" w:rsidTr="00C33ABB">
        <w:tc>
          <w:tcPr>
            <w:tcW w:w="2875" w:type="dxa"/>
          </w:tcPr>
          <w:p w14:paraId="1B3558D9" w14:textId="0DE18177" w:rsidR="005D33BD" w:rsidRPr="00FC6DDA" w:rsidRDefault="008A2209" w:rsidP="00C33ABB">
            <w:pPr>
              <w:jc w:val="center"/>
              <w:rPr>
                <w:lang w:val="en-US"/>
              </w:rPr>
            </w:pPr>
            <w:r w:rsidRPr="00FC6DDA">
              <w:rPr>
                <w:lang w:val="en-US"/>
              </w:rPr>
              <w:lastRenderedPageBreak/>
              <w:t>Akkuly district</w:t>
            </w:r>
          </w:p>
        </w:tc>
        <w:tc>
          <w:tcPr>
            <w:tcW w:w="1350" w:type="dxa"/>
            <w:vAlign w:val="bottom"/>
          </w:tcPr>
          <w:p w14:paraId="689E3F11"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132 600</w:t>
            </w:r>
          </w:p>
        </w:tc>
        <w:tc>
          <w:tcPr>
            <w:tcW w:w="1351" w:type="dxa"/>
            <w:vAlign w:val="bottom"/>
          </w:tcPr>
          <w:p w14:paraId="19E65EE6"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149 900</w:t>
            </w:r>
          </w:p>
        </w:tc>
        <w:tc>
          <w:tcPr>
            <w:tcW w:w="1350" w:type="dxa"/>
            <w:vAlign w:val="bottom"/>
          </w:tcPr>
          <w:p w14:paraId="35D34A5D" w14:textId="77777777" w:rsidR="005D33BD" w:rsidRPr="00FC6DDA" w:rsidRDefault="005D33BD" w:rsidP="00C33ABB">
            <w:pPr>
              <w:jc w:val="center"/>
              <w:rPr>
                <w:rFonts w:eastAsia="Arial Unicode MS"/>
              </w:rPr>
            </w:pPr>
            <w:r w:rsidRPr="00FC6DDA">
              <w:t xml:space="preserve">121 </w:t>
            </w:r>
            <w:r w:rsidRPr="00FC6DDA">
              <w:rPr>
                <w:lang w:val="kk-KZ"/>
              </w:rPr>
              <w:t>200</w:t>
            </w:r>
          </w:p>
        </w:tc>
        <w:tc>
          <w:tcPr>
            <w:tcW w:w="1351" w:type="dxa"/>
            <w:vAlign w:val="bottom"/>
          </w:tcPr>
          <w:p w14:paraId="05D89D18" w14:textId="77777777" w:rsidR="005D33BD" w:rsidRPr="00FC6DDA" w:rsidRDefault="005D33BD" w:rsidP="00C33ABB">
            <w:pPr>
              <w:jc w:val="center"/>
              <w:rPr>
                <w:rFonts w:eastAsia="Arial Unicode MS"/>
              </w:rPr>
            </w:pPr>
            <w:r w:rsidRPr="00FC6DDA">
              <w:t>135 900</w:t>
            </w:r>
          </w:p>
        </w:tc>
        <w:tc>
          <w:tcPr>
            <w:tcW w:w="1351" w:type="dxa"/>
            <w:vAlign w:val="bottom"/>
          </w:tcPr>
          <w:p w14:paraId="620F43E2" w14:textId="77777777" w:rsidR="005D33BD" w:rsidRPr="00FC6DDA" w:rsidRDefault="005D33BD" w:rsidP="00C33ABB">
            <w:pPr>
              <w:jc w:val="center"/>
              <w:rPr>
                <w:rFonts w:eastAsia="Arial Unicode MS"/>
              </w:rPr>
            </w:pPr>
            <w:r w:rsidRPr="00FC6DDA">
              <w:rPr>
                <w:rFonts w:eastAsia="Arial Unicode MS"/>
              </w:rPr>
              <w:t>163 500</w:t>
            </w:r>
          </w:p>
        </w:tc>
      </w:tr>
      <w:tr w:rsidR="005D33BD" w:rsidRPr="00FC6DDA" w14:paraId="4AECB362" w14:textId="77777777" w:rsidTr="00C33ABB">
        <w:tc>
          <w:tcPr>
            <w:tcW w:w="2875" w:type="dxa"/>
          </w:tcPr>
          <w:p w14:paraId="2E88CE64" w14:textId="2DC54A72" w:rsidR="005D33BD" w:rsidRPr="00FC6DDA" w:rsidRDefault="008A2209" w:rsidP="00C33ABB">
            <w:pPr>
              <w:jc w:val="center"/>
              <w:rPr>
                <w:lang w:val="en-US"/>
              </w:rPr>
            </w:pPr>
            <w:r w:rsidRPr="00FC6DDA">
              <w:rPr>
                <w:lang w:val="en-US"/>
              </w:rPr>
              <w:t>Mayskiy district</w:t>
            </w:r>
          </w:p>
        </w:tc>
        <w:tc>
          <w:tcPr>
            <w:tcW w:w="1350" w:type="dxa"/>
            <w:vAlign w:val="bottom"/>
          </w:tcPr>
          <w:p w14:paraId="516296E3" w14:textId="77777777" w:rsidR="005D33BD" w:rsidRPr="00FC6DDA" w:rsidRDefault="005D33BD" w:rsidP="00C33ABB">
            <w:pPr>
              <w:pStyle w:val="a"/>
              <w:ind w:left="57"/>
              <w:jc w:val="center"/>
              <w:rPr>
                <w:rFonts w:ascii="Times New Roman" w:hAnsi="Times New Roman"/>
                <w:sz w:val="20"/>
                <w:lang w:val="kk-KZ"/>
              </w:rPr>
            </w:pPr>
            <w:r w:rsidRPr="00FC6DDA">
              <w:rPr>
                <w:rFonts w:ascii="Times New Roman" w:hAnsi="Times New Roman"/>
                <w:sz w:val="20"/>
                <w:lang w:val="kk-KZ"/>
              </w:rPr>
              <w:t>144 300</w:t>
            </w:r>
          </w:p>
        </w:tc>
        <w:tc>
          <w:tcPr>
            <w:tcW w:w="1351" w:type="dxa"/>
            <w:vAlign w:val="bottom"/>
          </w:tcPr>
          <w:p w14:paraId="4E436405" w14:textId="77777777" w:rsidR="005D33BD" w:rsidRPr="00FC6DDA" w:rsidRDefault="005D33BD" w:rsidP="00C33ABB">
            <w:pPr>
              <w:pStyle w:val="a"/>
              <w:ind w:left="57"/>
              <w:jc w:val="center"/>
              <w:rPr>
                <w:rFonts w:ascii="Times New Roman" w:hAnsi="Times New Roman"/>
                <w:sz w:val="20"/>
                <w:lang w:val="kk-KZ"/>
              </w:rPr>
            </w:pPr>
            <w:r w:rsidRPr="00FC6DDA">
              <w:rPr>
                <w:rFonts w:ascii="Times New Roman" w:hAnsi="Times New Roman"/>
                <w:sz w:val="20"/>
                <w:lang w:val="kk-KZ"/>
              </w:rPr>
              <w:t>171 500</w:t>
            </w:r>
          </w:p>
        </w:tc>
        <w:tc>
          <w:tcPr>
            <w:tcW w:w="1350" w:type="dxa"/>
            <w:vAlign w:val="bottom"/>
          </w:tcPr>
          <w:p w14:paraId="0A6100B1" w14:textId="77777777" w:rsidR="005D33BD" w:rsidRPr="00FC6DDA" w:rsidRDefault="005D33BD" w:rsidP="00C33ABB">
            <w:pPr>
              <w:ind w:left="57"/>
              <w:jc w:val="center"/>
              <w:rPr>
                <w:rFonts w:eastAsia="Arial Unicode MS"/>
                <w:lang w:val="kk-KZ"/>
              </w:rPr>
            </w:pPr>
            <w:r w:rsidRPr="00FC6DDA">
              <w:t xml:space="preserve">188 </w:t>
            </w:r>
            <w:r w:rsidRPr="00FC6DDA">
              <w:rPr>
                <w:lang w:val="kk-KZ"/>
              </w:rPr>
              <w:t>700</w:t>
            </w:r>
          </w:p>
        </w:tc>
        <w:tc>
          <w:tcPr>
            <w:tcW w:w="1351" w:type="dxa"/>
            <w:vAlign w:val="bottom"/>
          </w:tcPr>
          <w:p w14:paraId="466436DB" w14:textId="77777777" w:rsidR="005D33BD" w:rsidRPr="00FC6DDA" w:rsidRDefault="005D33BD" w:rsidP="00C33ABB">
            <w:pPr>
              <w:ind w:left="57"/>
              <w:jc w:val="center"/>
              <w:rPr>
                <w:rFonts w:eastAsia="Arial Unicode MS"/>
              </w:rPr>
            </w:pPr>
            <w:r w:rsidRPr="00FC6DDA">
              <w:t>203 700</w:t>
            </w:r>
          </w:p>
        </w:tc>
        <w:tc>
          <w:tcPr>
            <w:tcW w:w="1351" w:type="dxa"/>
            <w:vAlign w:val="bottom"/>
          </w:tcPr>
          <w:p w14:paraId="0D993E03" w14:textId="77777777" w:rsidR="005D33BD" w:rsidRPr="00FC6DDA" w:rsidRDefault="005D33BD" w:rsidP="00C33ABB">
            <w:pPr>
              <w:ind w:left="57"/>
              <w:jc w:val="center"/>
              <w:rPr>
                <w:rFonts w:eastAsia="Arial Unicode MS"/>
              </w:rPr>
            </w:pPr>
            <w:r w:rsidRPr="00FC6DDA">
              <w:rPr>
                <w:rFonts w:eastAsia="Arial Unicode MS"/>
              </w:rPr>
              <w:t>253 800</w:t>
            </w:r>
          </w:p>
        </w:tc>
      </w:tr>
      <w:tr w:rsidR="005D33BD" w:rsidRPr="00FC6DDA" w14:paraId="38AD8C4E" w14:textId="77777777" w:rsidTr="00C33ABB">
        <w:tc>
          <w:tcPr>
            <w:tcW w:w="2875" w:type="dxa"/>
          </w:tcPr>
          <w:p w14:paraId="75AA9C93" w14:textId="058F944C" w:rsidR="005D33BD" w:rsidRPr="00FC6DDA" w:rsidRDefault="008A2209" w:rsidP="00C33ABB">
            <w:pPr>
              <w:jc w:val="center"/>
              <w:rPr>
                <w:lang w:val="en-US"/>
              </w:rPr>
            </w:pPr>
            <w:r w:rsidRPr="00FC6DDA">
              <w:rPr>
                <w:lang w:val="en-US"/>
              </w:rPr>
              <w:t>Pavlodar district</w:t>
            </w:r>
          </w:p>
        </w:tc>
        <w:tc>
          <w:tcPr>
            <w:tcW w:w="1350" w:type="dxa"/>
            <w:vAlign w:val="bottom"/>
          </w:tcPr>
          <w:p w14:paraId="2D45BBC6" w14:textId="77777777" w:rsidR="005D33BD" w:rsidRPr="00FC6DDA" w:rsidRDefault="005D33BD" w:rsidP="00C33ABB">
            <w:pPr>
              <w:pStyle w:val="a"/>
              <w:ind w:left="57"/>
              <w:jc w:val="center"/>
              <w:rPr>
                <w:rFonts w:ascii="Times New Roman" w:hAnsi="Times New Roman"/>
                <w:sz w:val="20"/>
                <w:lang w:val="kk-KZ"/>
              </w:rPr>
            </w:pPr>
            <w:r w:rsidRPr="00FC6DDA">
              <w:rPr>
                <w:rFonts w:ascii="Times New Roman" w:hAnsi="Times New Roman"/>
                <w:sz w:val="20"/>
                <w:lang w:val="kk-KZ"/>
              </w:rPr>
              <w:t>199 400</w:t>
            </w:r>
          </w:p>
        </w:tc>
        <w:tc>
          <w:tcPr>
            <w:tcW w:w="1351" w:type="dxa"/>
            <w:vAlign w:val="bottom"/>
          </w:tcPr>
          <w:p w14:paraId="674164E2" w14:textId="77777777" w:rsidR="005D33BD" w:rsidRPr="00FC6DDA" w:rsidRDefault="005D33BD" w:rsidP="00C33ABB">
            <w:pPr>
              <w:pStyle w:val="a"/>
              <w:ind w:left="57"/>
              <w:jc w:val="center"/>
              <w:rPr>
                <w:rFonts w:ascii="Times New Roman" w:hAnsi="Times New Roman"/>
                <w:sz w:val="20"/>
                <w:lang w:val="kk-KZ"/>
              </w:rPr>
            </w:pPr>
            <w:r w:rsidRPr="00FC6DDA">
              <w:rPr>
                <w:rFonts w:ascii="Times New Roman" w:hAnsi="Times New Roman"/>
                <w:sz w:val="20"/>
                <w:lang w:val="kk-KZ"/>
              </w:rPr>
              <w:t>321 900</w:t>
            </w:r>
          </w:p>
        </w:tc>
        <w:tc>
          <w:tcPr>
            <w:tcW w:w="1350" w:type="dxa"/>
            <w:vAlign w:val="bottom"/>
          </w:tcPr>
          <w:p w14:paraId="52C816A8" w14:textId="77777777" w:rsidR="005D33BD" w:rsidRPr="00FC6DDA" w:rsidRDefault="005D33BD" w:rsidP="00C33ABB">
            <w:pPr>
              <w:ind w:left="57"/>
              <w:jc w:val="center"/>
              <w:rPr>
                <w:rFonts w:eastAsia="Arial Unicode MS"/>
                <w:lang w:val="kk-KZ"/>
              </w:rPr>
            </w:pPr>
            <w:r w:rsidRPr="00FC6DDA">
              <w:t xml:space="preserve">348 </w:t>
            </w:r>
            <w:r w:rsidRPr="00FC6DDA">
              <w:rPr>
                <w:lang w:val="kk-KZ"/>
              </w:rPr>
              <w:t>100</w:t>
            </w:r>
          </w:p>
        </w:tc>
        <w:tc>
          <w:tcPr>
            <w:tcW w:w="1351" w:type="dxa"/>
            <w:vAlign w:val="bottom"/>
          </w:tcPr>
          <w:p w14:paraId="6119FBBA" w14:textId="77777777" w:rsidR="005D33BD" w:rsidRPr="00FC6DDA" w:rsidRDefault="005D33BD" w:rsidP="00C33ABB">
            <w:pPr>
              <w:ind w:left="57"/>
              <w:jc w:val="center"/>
              <w:rPr>
                <w:rFonts w:eastAsia="Arial Unicode MS"/>
              </w:rPr>
            </w:pPr>
            <w:r w:rsidRPr="00FC6DDA">
              <w:t>389 800</w:t>
            </w:r>
          </w:p>
        </w:tc>
        <w:tc>
          <w:tcPr>
            <w:tcW w:w="1351" w:type="dxa"/>
            <w:vAlign w:val="bottom"/>
          </w:tcPr>
          <w:p w14:paraId="3CDB0076" w14:textId="77777777" w:rsidR="005D33BD" w:rsidRPr="00FC6DDA" w:rsidRDefault="005D33BD" w:rsidP="00C33ABB">
            <w:pPr>
              <w:ind w:left="57"/>
              <w:jc w:val="center"/>
              <w:rPr>
                <w:rFonts w:eastAsia="Arial Unicode MS"/>
              </w:rPr>
            </w:pPr>
            <w:r w:rsidRPr="00FC6DDA">
              <w:rPr>
                <w:rFonts w:eastAsia="Arial Unicode MS"/>
              </w:rPr>
              <w:t>366 800</w:t>
            </w:r>
          </w:p>
        </w:tc>
      </w:tr>
      <w:tr w:rsidR="005D33BD" w:rsidRPr="00FC6DDA" w14:paraId="7E6D82EE" w14:textId="77777777" w:rsidTr="00C33ABB">
        <w:tc>
          <w:tcPr>
            <w:tcW w:w="2875" w:type="dxa"/>
          </w:tcPr>
          <w:p w14:paraId="74EC5337" w14:textId="3FC306E1" w:rsidR="005D33BD" w:rsidRPr="00FC6DDA" w:rsidRDefault="008A2209" w:rsidP="00C33ABB">
            <w:pPr>
              <w:jc w:val="center"/>
              <w:rPr>
                <w:lang w:val="en-US"/>
              </w:rPr>
            </w:pPr>
            <w:r w:rsidRPr="00FC6DDA">
              <w:rPr>
                <w:lang w:val="en-US"/>
              </w:rPr>
              <w:t xml:space="preserve">Uspenskiy district </w:t>
            </w:r>
          </w:p>
        </w:tc>
        <w:tc>
          <w:tcPr>
            <w:tcW w:w="1350" w:type="dxa"/>
            <w:vAlign w:val="bottom"/>
          </w:tcPr>
          <w:p w14:paraId="29415EBE"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149 400</w:t>
            </w:r>
          </w:p>
        </w:tc>
        <w:tc>
          <w:tcPr>
            <w:tcW w:w="1351" w:type="dxa"/>
            <w:vAlign w:val="bottom"/>
          </w:tcPr>
          <w:p w14:paraId="4BDC58F1"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181 500</w:t>
            </w:r>
          </w:p>
        </w:tc>
        <w:tc>
          <w:tcPr>
            <w:tcW w:w="1350" w:type="dxa"/>
            <w:vAlign w:val="bottom"/>
          </w:tcPr>
          <w:p w14:paraId="5F4CFF0C" w14:textId="77777777" w:rsidR="005D33BD" w:rsidRPr="00FC6DDA" w:rsidRDefault="005D33BD" w:rsidP="00C33ABB">
            <w:pPr>
              <w:jc w:val="center"/>
              <w:rPr>
                <w:rFonts w:eastAsia="Arial Unicode MS"/>
                <w:lang w:val="kk-KZ"/>
              </w:rPr>
            </w:pPr>
            <w:r w:rsidRPr="00FC6DDA">
              <w:t xml:space="preserve">211 </w:t>
            </w:r>
            <w:r w:rsidRPr="00FC6DDA">
              <w:rPr>
                <w:lang w:val="kk-KZ"/>
              </w:rPr>
              <w:t>600</w:t>
            </w:r>
          </w:p>
        </w:tc>
        <w:tc>
          <w:tcPr>
            <w:tcW w:w="1351" w:type="dxa"/>
            <w:vAlign w:val="bottom"/>
          </w:tcPr>
          <w:p w14:paraId="27E165F9" w14:textId="77777777" w:rsidR="005D33BD" w:rsidRPr="00FC6DDA" w:rsidRDefault="005D33BD" w:rsidP="00C33ABB">
            <w:pPr>
              <w:jc w:val="center"/>
              <w:rPr>
                <w:rFonts w:eastAsia="Arial Unicode MS"/>
              </w:rPr>
            </w:pPr>
            <w:r w:rsidRPr="00FC6DDA">
              <w:t>238 200</w:t>
            </w:r>
          </w:p>
        </w:tc>
        <w:tc>
          <w:tcPr>
            <w:tcW w:w="1351" w:type="dxa"/>
            <w:vAlign w:val="bottom"/>
          </w:tcPr>
          <w:p w14:paraId="0D11C98B" w14:textId="77777777" w:rsidR="005D33BD" w:rsidRPr="00FC6DDA" w:rsidRDefault="005D33BD" w:rsidP="00C33ABB">
            <w:pPr>
              <w:jc w:val="center"/>
              <w:rPr>
                <w:rFonts w:eastAsia="Arial Unicode MS"/>
              </w:rPr>
            </w:pPr>
            <w:r w:rsidRPr="00FC6DDA">
              <w:rPr>
                <w:rFonts w:eastAsia="Arial Unicode MS"/>
              </w:rPr>
              <w:t>234 300</w:t>
            </w:r>
          </w:p>
        </w:tc>
      </w:tr>
      <w:tr w:rsidR="005D33BD" w:rsidRPr="00FC6DDA" w14:paraId="1AB91124" w14:textId="77777777" w:rsidTr="00C33ABB">
        <w:tc>
          <w:tcPr>
            <w:tcW w:w="2875" w:type="dxa"/>
          </w:tcPr>
          <w:p w14:paraId="4A44CF75" w14:textId="42BDEB07" w:rsidR="005D33BD" w:rsidRPr="00FC6DDA" w:rsidRDefault="008A2209" w:rsidP="00C33ABB">
            <w:pPr>
              <w:jc w:val="center"/>
              <w:rPr>
                <w:lang w:val="en-US"/>
              </w:rPr>
            </w:pPr>
            <w:r w:rsidRPr="00FC6DDA">
              <w:rPr>
                <w:lang w:val="en-US"/>
              </w:rPr>
              <w:t>Sherbakty district</w:t>
            </w:r>
          </w:p>
        </w:tc>
        <w:tc>
          <w:tcPr>
            <w:tcW w:w="1350" w:type="dxa"/>
            <w:vAlign w:val="bottom"/>
          </w:tcPr>
          <w:p w14:paraId="4CD7A407"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169 300</w:t>
            </w:r>
          </w:p>
        </w:tc>
        <w:tc>
          <w:tcPr>
            <w:tcW w:w="1351" w:type="dxa"/>
            <w:vAlign w:val="bottom"/>
          </w:tcPr>
          <w:p w14:paraId="07BC894C" w14:textId="77777777" w:rsidR="005D33BD" w:rsidRPr="00FC6DDA" w:rsidRDefault="005D33BD" w:rsidP="00C33ABB">
            <w:pPr>
              <w:pStyle w:val="a"/>
              <w:jc w:val="center"/>
              <w:rPr>
                <w:rFonts w:ascii="Times New Roman" w:hAnsi="Times New Roman"/>
                <w:sz w:val="20"/>
                <w:lang w:val="kk-KZ"/>
              </w:rPr>
            </w:pPr>
            <w:r w:rsidRPr="00FC6DDA">
              <w:rPr>
                <w:rFonts w:ascii="Times New Roman" w:hAnsi="Times New Roman"/>
                <w:sz w:val="20"/>
                <w:lang w:val="kk-KZ"/>
              </w:rPr>
              <w:t>225 900</w:t>
            </w:r>
          </w:p>
        </w:tc>
        <w:tc>
          <w:tcPr>
            <w:tcW w:w="1350" w:type="dxa"/>
            <w:vAlign w:val="bottom"/>
          </w:tcPr>
          <w:p w14:paraId="66EBD989" w14:textId="77777777" w:rsidR="005D33BD" w:rsidRPr="00FC6DDA" w:rsidRDefault="005D33BD" w:rsidP="00C33ABB">
            <w:pPr>
              <w:jc w:val="center"/>
              <w:rPr>
                <w:rFonts w:eastAsia="Arial Unicode MS"/>
                <w:lang w:val="kk-KZ"/>
              </w:rPr>
            </w:pPr>
            <w:r w:rsidRPr="00FC6DDA">
              <w:t xml:space="preserve">220 </w:t>
            </w:r>
            <w:r w:rsidRPr="00FC6DDA">
              <w:rPr>
                <w:lang w:val="kk-KZ"/>
              </w:rPr>
              <w:t>000</w:t>
            </w:r>
          </w:p>
        </w:tc>
        <w:tc>
          <w:tcPr>
            <w:tcW w:w="1351" w:type="dxa"/>
            <w:vAlign w:val="bottom"/>
          </w:tcPr>
          <w:p w14:paraId="01054E11" w14:textId="77777777" w:rsidR="005D33BD" w:rsidRPr="00FC6DDA" w:rsidRDefault="005D33BD" w:rsidP="00C33ABB">
            <w:pPr>
              <w:jc w:val="center"/>
              <w:rPr>
                <w:rFonts w:eastAsia="Arial Unicode MS"/>
              </w:rPr>
            </w:pPr>
            <w:r w:rsidRPr="00FC6DDA">
              <w:t>318 800</w:t>
            </w:r>
          </w:p>
        </w:tc>
        <w:tc>
          <w:tcPr>
            <w:tcW w:w="1351" w:type="dxa"/>
            <w:vAlign w:val="bottom"/>
          </w:tcPr>
          <w:p w14:paraId="439087DD" w14:textId="77777777" w:rsidR="005D33BD" w:rsidRPr="00FC6DDA" w:rsidRDefault="005D33BD" w:rsidP="00C33ABB">
            <w:pPr>
              <w:jc w:val="center"/>
              <w:rPr>
                <w:rFonts w:eastAsia="Arial Unicode MS"/>
              </w:rPr>
            </w:pPr>
            <w:r w:rsidRPr="00FC6DDA">
              <w:rPr>
                <w:rFonts w:eastAsia="Arial Unicode MS"/>
              </w:rPr>
              <w:t>285 900</w:t>
            </w:r>
          </w:p>
        </w:tc>
      </w:tr>
    </w:tbl>
    <w:p w14:paraId="7E484B27" w14:textId="4ED18033" w:rsidR="005D33BD" w:rsidRPr="00FC6DDA" w:rsidRDefault="008A2209" w:rsidP="005D33BD">
      <w:pPr>
        <w:rPr>
          <w:sz w:val="20"/>
          <w:szCs w:val="20"/>
          <w:lang w:val="en-US"/>
        </w:rPr>
      </w:pPr>
      <w:r w:rsidRPr="00FC6DDA">
        <w:rPr>
          <w:sz w:val="20"/>
          <w:szCs w:val="20"/>
          <w:lang w:val="en-US"/>
        </w:rPr>
        <w:t>Note</w:t>
      </w:r>
      <w:r w:rsidR="00BA5D6A" w:rsidRPr="00FC6DDA">
        <w:rPr>
          <w:sz w:val="20"/>
          <w:szCs w:val="20"/>
          <w:lang w:val="en-US"/>
        </w:rPr>
        <w:t xml:space="preserve"> – I</w:t>
      </w:r>
      <w:r w:rsidRPr="00FC6DDA">
        <w:rPr>
          <w:sz w:val="20"/>
          <w:szCs w:val="20"/>
          <w:lang w:val="en-US"/>
        </w:rPr>
        <w:t>n accordance with source</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5D33BD" w:rsidRPr="00FC6DDA">
        <w:rPr>
          <w:sz w:val="20"/>
          <w:szCs w:val="20"/>
          <w:lang w:val="en-US"/>
        </w:rPr>
        <w:t>]</w:t>
      </w:r>
    </w:p>
    <w:p w14:paraId="6C6DC6C3" w14:textId="77777777" w:rsidR="005D33BD" w:rsidRPr="00FC6DDA" w:rsidRDefault="005D33BD" w:rsidP="005D33BD">
      <w:pPr>
        <w:ind w:firstLine="360"/>
        <w:rPr>
          <w:sz w:val="28"/>
          <w:szCs w:val="28"/>
        </w:rPr>
      </w:pPr>
      <w:r w:rsidRPr="00FC6DDA">
        <w:rPr>
          <w:noProof/>
          <w:sz w:val="28"/>
          <w:szCs w:val="28"/>
          <w:lang w:val="en-GB" w:eastAsia="en-GB"/>
        </w:rPr>
        <w:drawing>
          <wp:inline distT="0" distB="0" distL="0" distR="0" wp14:anchorId="25BAFCDA" wp14:editId="64BB267E">
            <wp:extent cx="5486400" cy="2053921"/>
            <wp:effectExtent l="0" t="0" r="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5B55D53" w14:textId="0BD65B76" w:rsidR="005D33BD" w:rsidRPr="00FC6DDA" w:rsidRDefault="008A2209" w:rsidP="005D33BD">
      <w:pPr>
        <w:ind w:firstLine="540"/>
        <w:rPr>
          <w:sz w:val="20"/>
          <w:szCs w:val="20"/>
          <w:lang w:val="en-US"/>
        </w:rPr>
      </w:pPr>
      <w:r w:rsidRPr="00FC6DDA">
        <w:rPr>
          <w:sz w:val="20"/>
          <w:szCs w:val="20"/>
          <w:lang w:val="en-US"/>
        </w:rPr>
        <w:t>Note</w:t>
      </w:r>
      <w:r w:rsidR="00BA5D6A" w:rsidRPr="00FC6DDA">
        <w:rPr>
          <w:sz w:val="20"/>
          <w:szCs w:val="20"/>
          <w:lang w:val="en-US"/>
        </w:rPr>
        <w:t xml:space="preserve"> – I</w:t>
      </w:r>
      <w:r w:rsidRPr="00FC6DDA">
        <w:rPr>
          <w:sz w:val="20"/>
          <w:szCs w:val="20"/>
          <w:lang w:val="en-US"/>
        </w:rPr>
        <w:t>n accordance with source</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5D33BD" w:rsidRPr="00FC6DDA">
        <w:rPr>
          <w:sz w:val="20"/>
          <w:szCs w:val="20"/>
          <w:lang w:val="en-US"/>
        </w:rPr>
        <w:t>]</w:t>
      </w:r>
    </w:p>
    <w:p w14:paraId="5AFC31F2" w14:textId="77777777" w:rsidR="005D33BD" w:rsidRPr="00FC6DDA" w:rsidRDefault="005D33BD" w:rsidP="005D33BD">
      <w:pPr>
        <w:ind w:firstLine="567"/>
        <w:jc w:val="both"/>
        <w:rPr>
          <w:lang w:val="en-US"/>
        </w:rPr>
      </w:pPr>
    </w:p>
    <w:p w14:paraId="4A6F2A6A" w14:textId="49FD9759" w:rsidR="005D33BD" w:rsidRPr="00FC6DDA" w:rsidRDefault="008A2209" w:rsidP="00EE4EA2">
      <w:pPr>
        <w:ind w:firstLine="567"/>
        <w:jc w:val="center"/>
        <w:rPr>
          <w:lang w:val="en-US"/>
        </w:rPr>
      </w:pPr>
      <w:r w:rsidRPr="00FC6DDA">
        <w:rPr>
          <w:lang w:val="en-US"/>
        </w:rPr>
        <w:t>Figure</w:t>
      </w:r>
      <w:r w:rsidR="005D33BD" w:rsidRPr="00FC6DDA">
        <w:rPr>
          <w:lang w:val="en-US"/>
        </w:rPr>
        <w:t xml:space="preserve"> 2 – </w:t>
      </w:r>
      <w:r w:rsidR="00283416" w:rsidRPr="00FC6DDA">
        <w:rPr>
          <w:lang w:val="en-US"/>
        </w:rPr>
        <w:t>Dynamics of growth rates in the provision of services related to tourism activities</w:t>
      </w:r>
      <w:r w:rsidR="00EE4EA2" w:rsidRPr="00FC6DDA">
        <w:rPr>
          <w:lang w:val="en-US"/>
        </w:rPr>
        <w:t>, %</w:t>
      </w:r>
    </w:p>
    <w:p w14:paraId="511B1FB7" w14:textId="37883471" w:rsidR="00362B38" w:rsidRPr="00FC6DDA" w:rsidRDefault="00362B38" w:rsidP="00DB05EB">
      <w:pPr>
        <w:widowControl w:val="0"/>
        <w:ind w:firstLine="567"/>
        <w:jc w:val="both"/>
        <w:rPr>
          <w:lang w:val="en-US"/>
        </w:rPr>
      </w:pPr>
    </w:p>
    <w:p w14:paraId="741D4A22" w14:textId="77777777" w:rsidR="001C2A9D" w:rsidRPr="00FC6DDA" w:rsidRDefault="001C2A9D" w:rsidP="001C2A9D">
      <w:pPr>
        <w:ind w:firstLine="567"/>
        <w:jc w:val="both"/>
        <w:rPr>
          <w:lang w:val="en-US"/>
        </w:rPr>
      </w:pPr>
      <w:r w:rsidRPr="00FC6DDA">
        <w:rPr>
          <w:lang w:val="en-US"/>
        </w:rPr>
        <w:t>The main range of services related to tourist activities falls on the cities of Pavlodar region (Pavlodar city, Ekibastuz city, Aksu city). The minimum volume of services falls on the regions of the region, rural areas.</w:t>
      </w:r>
    </w:p>
    <w:p w14:paraId="22B1E4C0" w14:textId="77777777" w:rsidR="001C2A9D" w:rsidRPr="00FC6DDA" w:rsidRDefault="001C2A9D" w:rsidP="001C2A9D">
      <w:pPr>
        <w:ind w:firstLine="567"/>
        <w:jc w:val="both"/>
        <w:rPr>
          <w:lang w:val="en-US"/>
        </w:rPr>
      </w:pPr>
      <w:r w:rsidRPr="00FC6DDA">
        <w:rPr>
          <w:lang w:val="en-US"/>
        </w:rPr>
        <w:t>All services related to tourism activities, in the context of enlarged types, are concentrated in two areas:</w:t>
      </w:r>
    </w:p>
    <w:p w14:paraId="1DA170E5" w14:textId="77777777" w:rsidR="001C2A9D" w:rsidRPr="00FC6DDA" w:rsidRDefault="001C2A9D" w:rsidP="001C2A9D">
      <w:pPr>
        <w:ind w:firstLine="567"/>
        <w:jc w:val="both"/>
        <w:rPr>
          <w:lang w:val="en-US"/>
        </w:rPr>
      </w:pPr>
      <w:r w:rsidRPr="00FC6DDA">
        <w:rPr>
          <w:lang w:val="en-US"/>
        </w:rPr>
        <w:t>- accommodation services (hotel services);</w:t>
      </w:r>
    </w:p>
    <w:p w14:paraId="5574BE2F" w14:textId="77777777" w:rsidR="001C2A9D" w:rsidRPr="00FC6DDA" w:rsidRDefault="001C2A9D" w:rsidP="001C2A9D">
      <w:pPr>
        <w:ind w:firstLine="567"/>
        <w:jc w:val="both"/>
        <w:rPr>
          <w:lang w:val="en-US"/>
        </w:rPr>
      </w:pPr>
      <w:r w:rsidRPr="00FC6DDA">
        <w:rPr>
          <w:lang w:val="en-US"/>
        </w:rPr>
        <w:t>- other services for organizing recreation.</w:t>
      </w:r>
    </w:p>
    <w:p w14:paraId="7AB0E55E" w14:textId="77777777" w:rsidR="001C2A9D" w:rsidRPr="00FC6DDA" w:rsidRDefault="001C2A9D" w:rsidP="001C2A9D">
      <w:pPr>
        <w:ind w:firstLine="567"/>
        <w:jc w:val="both"/>
        <w:rPr>
          <w:lang w:val="en-US"/>
        </w:rPr>
      </w:pPr>
      <w:r w:rsidRPr="00FC6DDA">
        <w:rPr>
          <w:lang w:val="en-US"/>
        </w:rPr>
        <w:t>The study of the dynamics of consolidated types of services related to tourism activities shows that there is a positive dynamics of accommodation services, while negative dynamics of services for the organization of recreation (Table 3). Nevertheless, from 2015 to 2019, in the structure of services related to tourism activities, recreation services prevailed (Figure 3).</w:t>
      </w:r>
    </w:p>
    <w:p w14:paraId="6E62B388" w14:textId="77777777" w:rsidR="001B601D" w:rsidRPr="00FC6DDA" w:rsidRDefault="001B601D" w:rsidP="005D33BD">
      <w:pPr>
        <w:rPr>
          <w:lang w:val="en-US"/>
        </w:rPr>
      </w:pPr>
    </w:p>
    <w:p w14:paraId="6E410127" w14:textId="0898A68B" w:rsidR="005D33BD" w:rsidRPr="00FC6DDA" w:rsidRDefault="001C2A9D" w:rsidP="005D33BD">
      <w:pPr>
        <w:rPr>
          <w:lang w:val="en-US"/>
        </w:rPr>
      </w:pPr>
      <w:r w:rsidRPr="00FC6DDA">
        <w:rPr>
          <w:lang w:val="en-US"/>
        </w:rPr>
        <w:t>Table</w:t>
      </w:r>
      <w:r w:rsidR="005D33BD" w:rsidRPr="00FC6DDA">
        <w:rPr>
          <w:lang w:val="en-US"/>
        </w:rPr>
        <w:t xml:space="preserve"> 3 – </w:t>
      </w:r>
      <w:r w:rsidRPr="00FC6DDA">
        <w:rPr>
          <w:lang w:val="en-US"/>
        </w:rPr>
        <w:t>Dynamics of tourist services in the context of their enlarged types</w:t>
      </w:r>
      <w:r w:rsidR="00EE4EA2" w:rsidRPr="00FC6DDA">
        <w:rPr>
          <w:lang w:val="en-US"/>
        </w:rPr>
        <w:t>, a thousand tenge</w:t>
      </w:r>
    </w:p>
    <w:p w14:paraId="4ED61766" w14:textId="133E87E6" w:rsidR="005D33BD" w:rsidRPr="00FC6DDA" w:rsidRDefault="005D33BD" w:rsidP="005D33BD">
      <w:pPr>
        <w:jc w:val="right"/>
        <w:rPr>
          <w:lang w:val="en-US"/>
        </w:rPr>
      </w:pPr>
    </w:p>
    <w:tbl>
      <w:tblPr>
        <w:tblStyle w:val="TableGrid"/>
        <w:tblW w:w="0" w:type="auto"/>
        <w:tblLook w:val="04A0" w:firstRow="1" w:lastRow="0" w:firstColumn="1" w:lastColumn="0" w:noHBand="0" w:noVBand="1"/>
      </w:tblPr>
      <w:tblGrid>
        <w:gridCol w:w="3235"/>
        <w:gridCol w:w="1278"/>
        <w:gridCol w:w="1279"/>
        <w:gridCol w:w="1278"/>
        <w:gridCol w:w="1279"/>
        <w:gridCol w:w="1279"/>
      </w:tblGrid>
      <w:tr w:rsidR="005D33BD" w:rsidRPr="00FC6DDA" w14:paraId="7264973D" w14:textId="77777777" w:rsidTr="005D33BD">
        <w:tc>
          <w:tcPr>
            <w:tcW w:w="3235" w:type="dxa"/>
            <w:vMerge w:val="restart"/>
          </w:tcPr>
          <w:p w14:paraId="064C82FE" w14:textId="767056AA" w:rsidR="005D33BD" w:rsidRPr="00FC6DDA" w:rsidRDefault="008D4CCA" w:rsidP="00C33ABB">
            <w:pPr>
              <w:jc w:val="center"/>
              <w:rPr>
                <w:lang w:val="en-US"/>
              </w:rPr>
            </w:pPr>
            <w:r w:rsidRPr="00FC6DDA">
              <w:rPr>
                <w:lang w:val="en-US"/>
              </w:rPr>
              <w:t>Index</w:t>
            </w:r>
          </w:p>
        </w:tc>
        <w:tc>
          <w:tcPr>
            <w:tcW w:w="6393" w:type="dxa"/>
            <w:gridSpan w:val="5"/>
          </w:tcPr>
          <w:p w14:paraId="404A0312" w14:textId="6F71DB62" w:rsidR="005D33BD" w:rsidRPr="00FC6DDA" w:rsidRDefault="00EE4EA2" w:rsidP="00C33ABB">
            <w:pPr>
              <w:jc w:val="center"/>
              <w:rPr>
                <w:lang w:val="en-US"/>
              </w:rPr>
            </w:pPr>
            <w:r w:rsidRPr="00FC6DDA">
              <w:rPr>
                <w:lang w:val="en-US"/>
              </w:rPr>
              <w:t>Year</w:t>
            </w:r>
          </w:p>
        </w:tc>
      </w:tr>
      <w:tr w:rsidR="005D33BD" w:rsidRPr="00FC6DDA" w14:paraId="0AC9B63B" w14:textId="77777777" w:rsidTr="005D33BD">
        <w:tc>
          <w:tcPr>
            <w:tcW w:w="3235" w:type="dxa"/>
            <w:vMerge/>
          </w:tcPr>
          <w:p w14:paraId="180AE6DD" w14:textId="77777777" w:rsidR="005D33BD" w:rsidRPr="00FC6DDA" w:rsidRDefault="005D33BD" w:rsidP="00C33ABB">
            <w:pPr>
              <w:jc w:val="center"/>
            </w:pPr>
          </w:p>
        </w:tc>
        <w:tc>
          <w:tcPr>
            <w:tcW w:w="1278" w:type="dxa"/>
          </w:tcPr>
          <w:p w14:paraId="75476EBE" w14:textId="77777777" w:rsidR="005D33BD" w:rsidRPr="00FC6DDA" w:rsidRDefault="005D33BD" w:rsidP="00C33ABB">
            <w:pPr>
              <w:jc w:val="center"/>
            </w:pPr>
            <w:r w:rsidRPr="00FC6DDA">
              <w:t>2015</w:t>
            </w:r>
          </w:p>
        </w:tc>
        <w:tc>
          <w:tcPr>
            <w:tcW w:w="1279" w:type="dxa"/>
          </w:tcPr>
          <w:p w14:paraId="507073A5" w14:textId="77777777" w:rsidR="005D33BD" w:rsidRPr="00FC6DDA" w:rsidRDefault="005D33BD" w:rsidP="00C33ABB">
            <w:pPr>
              <w:jc w:val="center"/>
            </w:pPr>
            <w:r w:rsidRPr="00FC6DDA">
              <w:t>2016</w:t>
            </w:r>
          </w:p>
        </w:tc>
        <w:tc>
          <w:tcPr>
            <w:tcW w:w="1278" w:type="dxa"/>
          </w:tcPr>
          <w:p w14:paraId="05116E44" w14:textId="77777777" w:rsidR="005D33BD" w:rsidRPr="00FC6DDA" w:rsidRDefault="005D33BD" w:rsidP="00C33ABB">
            <w:pPr>
              <w:jc w:val="center"/>
            </w:pPr>
            <w:r w:rsidRPr="00FC6DDA">
              <w:t>2017</w:t>
            </w:r>
          </w:p>
        </w:tc>
        <w:tc>
          <w:tcPr>
            <w:tcW w:w="1279" w:type="dxa"/>
          </w:tcPr>
          <w:p w14:paraId="08BFDAB5" w14:textId="77777777" w:rsidR="005D33BD" w:rsidRPr="00FC6DDA" w:rsidRDefault="005D33BD" w:rsidP="00C33ABB">
            <w:pPr>
              <w:jc w:val="center"/>
            </w:pPr>
            <w:r w:rsidRPr="00FC6DDA">
              <w:t>2018</w:t>
            </w:r>
          </w:p>
        </w:tc>
        <w:tc>
          <w:tcPr>
            <w:tcW w:w="1279" w:type="dxa"/>
          </w:tcPr>
          <w:p w14:paraId="4336077A" w14:textId="77777777" w:rsidR="005D33BD" w:rsidRPr="00FC6DDA" w:rsidRDefault="005D33BD" w:rsidP="00C33ABB">
            <w:pPr>
              <w:jc w:val="center"/>
            </w:pPr>
            <w:r w:rsidRPr="00FC6DDA">
              <w:t>2019</w:t>
            </w:r>
          </w:p>
        </w:tc>
      </w:tr>
      <w:tr w:rsidR="005D33BD" w:rsidRPr="00FC6DDA" w14:paraId="26157334" w14:textId="77777777" w:rsidTr="005D33BD">
        <w:tc>
          <w:tcPr>
            <w:tcW w:w="3235" w:type="dxa"/>
          </w:tcPr>
          <w:p w14:paraId="77609FEA" w14:textId="632FE734" w:rsidR="005D33BD" w:rsidRPr="00FC6DDA" w:rsidRDefault="001C2A9D" w:rsidP="00C33ABB">
            <w:pPr>
              <w:jc w:val="center"/>
            </w:pPr>
            <w:r w:rsidRPr="00FC6DDA">
              <w:t>Accommodation services</w:t>
            </w:r>
          </w:p>
        </w:tc>
        <w:tc>
          <w:tcPr>
            <w:tcW w:w="1278" w:type="dxa"/>
            <w:vAlign w:val="bottom"/>
          </w:tcPr>
          <w:p w14:paraId="50E3D3D6" w14:textId="77777777" w:rsidR="005D33BD" w:rsidRPr="00FC6DDA" w:rsidRDefault="005D33BD" w:rsidP="00C33ABB">
            <w:pPr>
              <w:jc w:val="center"/>
            </w:pPr>
            <w:r w:rsidRPr="00FC6DDA">
              <w:t>324 833,4</w:t>
            </w:r>
          </w:p>
        </w:tc>
        <w:tc>
          <w:tcPr>
            <w:tcW w:w="1279" w:type="dxa"/>
            <w:vAlign w:val="bottom"/>
          </w:tcPr>
          <w:p w14:paraId="4F428E16" w14:textId="77777777" w:rsidR="005D33BD" w:rsidRPr="00FC6DDA" w:rsidRDefault="005D33BD" w:rsidP="00C33ABB">
            <w:pPr>
              <w:jc w:val="center"/>
            </w:pPr>
            <w:r w:rsidRPr="00FC6DDA">
              <w:rPr>
                <w:lang w:val="kk-KZ"/>
              </w:rPr>
              <w:t>1 591 832,4</w:t>
            </w:r>
          </w:p>
        </w:tc>
        <w:tc>
          <w:tcPr>
            <w:tcW w:w="1278" w:type="dxa"/>
            <w:vAlign w:val="bottom"/>
          </w:tcPr>
          <w:p w14:paraId="4751B78F" w14:textId="77777777" w:rsidR="005D33BD" w:rsidRPr="00FC6DDA" w:rsidRDefault="005D33BD" w:rsidP="00C33ABB">
            <w:pPr>
              <w:jc w:val="center"/>
            </w:pPr>
            <w:r w:rsidRPr="00FC6DDA">
              <w:t>1 852 259,7</w:t>
            </w:r>
          </w:p>
        </w:tc>
        <w:tc>
          <w:tcPr>
            <w:tcW w:w="1279" w:type="dxa"/>
            <w:vAlign w:val="bottom"/>
          </w:tcPr>
          <w:p w14:paraId="24FBD36D" w14:textId="77777777" w:rsidR="005D33BD" w:rsidRPr="00FC6DDA" w:rsidRDefault="005D33BD" w:rsidP="00C33ABB">
            <w:pPr>
              <w:jc w:val="center"/>
            </w:pPr>
            <w:r w:rsidRPr="00FC6DDA">
              <w:t>2 130 571,5</w:t>
            </w:r>
          </w:p>
        </w:tc>
        <w:tc>
          <w:tcPr>
            <w:tcW w:w="1279" w:type="dxa"/>
            <w:vAlign w:val="bottom"/>
          </w:tcPr>
          <w:p w14:paraId="6BEAB458" w14:textId="77777777" w:rsidR="005D33BD" w:rsidRPr="00FC6DDA" w:rsidRDefault="005D33BD" w:rsidP="00C33ABB">
            <w:pPr>
              <w:jc w:val="center"/>
            </w:pPr>
            <w:r w:rsidRPr="00FC6DDA">
              <w:t>3 367 502,4</w:t>
            </w:r>
          </w:p>
        </w:tc>
      </w:tr>
      <w:tr w:rsidR="005D33BD" w:rsidRPr="00FC6DDA" w14:paraId="3C927328" w14:textId="77777777" w:rsidTr="005D33BD">
        <w:tc>
          <w:tcPr>
            <w:tcW w:w="3235" w:type="dxa"/>
          </w:tcPr>
          <w:p w14:paraId="1FF166A3" w14:textId="0133E153" w:rsidR="005D33BD" w:rsidRPr="00FC6DDA" w:rsidRDefault="001C2A9D" w:rsidP="00C33ABB">
            <w:pPr>
              <w:jc w:val="center"/>
            </w:pPr>
            <w:r w:rsidRPr="00FC6DDA">
              <w:t>Other leisure services</w:t>
            </w:r>
          </w:p>
        </w:tc>
        <w:tc>
          <w:tcPr>
            <w:tcW w:w="1278" w:type="dxa"/>
            <w:vAlign w:val="bottom"/>
          </w:tcPr>
          <w:p w14:paraId="0AFB3F67" w14:textId="77777777" w:rsidR="005D33BD" w:rsidRPr="00FC6DDA" w:rsidRDefault="005D33BD" w:rsidP="00C33ABB">
            <w:pPr>
              <w:jc w:val="center"/>
            </w:pPr>
            <w:r w:rsidRPr="00FC6DDA">
              <w:t>9 267 366,60</w:t>
            </w:r>
          </w:p>
        </w:tc>
        <w:tc>
          <w:tcPr>
            <w:tcW w:w="1279" w:type="dxa"/>
            <w:vAlign w:val="bottom"/>
          </w:tcPr>
          <w:p w14:paraId="63BC1122" w14:textId="77777777" w:rsidR="005D33BD" w:rsidRPr="00FC6DDA" w:rsidRDefault="005D33BD" w:rsidP="00C33ABB">
            <w:pPr>
              <w:jc w:val="center"/>
            </w:pPr>
            <w:r w:rsidRPr="00FC6DDA">
              <w:t>7 076 267,60</w:t>
            </w:r>
          </w:p>
        </w:tc>
        <w:tc>
          <w:tcPr>
            <w:tcW w:w="1278" w:type="dxa"/>
            <w:vAlign w:val="bottom"/>
          </w:tcPr>
          <w:p w14:paraId="40EA2077" w14:textId="77777777" w:rsidR="005D33BD" w:rsidRPr="00FC6DDA" w:rsidRDefault="005D33BD" w:rsidP="00C33ABB">
            <w:pPr>
              <w:jc w:val="center"/>
            </w:pPr>
            <w:r w:rsidRPr="00FC6DDA">
              <w:t>8 033 840,30</w:t>
            </w:r>
          </w:p>
        </w:tc>
        <w:tc>
          <w:tcPr>
            <w:tcW w:w="1279" w:type="dxa"/>
            <w:vAlign w:val="bottom"/>
          </w:tcPr>
          <w:p w14:paraId="70EC4A45" w14:textId="77777777" w:rsidR="005D33BD" w:rsidRPr="00FC6DDA" w:rsidRDefault="005D33BD" w:rsidP="00C33ABB">
            <w:pPr>
              <w:jc w:val="center"/>
            </w:pPr>
            <w:r w:rsidRPr="00FC6DDA">
              <w:t>5 858 428,50</w:t>
            </w:r>
          </w:p>
        </w:tc>
        <w:tc>
          <w:tcPr>
            <w:tcW w:w="1279" w:type="dxa"/>
            <w:vAlign w:val="bottom"/>
          </w:tcPr>
          <w:p w14:paraId="33EA3F7D" w14:textId="77777777" w:rsidR="005D33BD" w:rsidRPr="00FC6DDA" w:rsidRDefault="005D33BD" w:rsidP="00C33ABB">
            <w:pPr>
              <w:jc w:val="center"/>
            </w:pPr>
            <w:r w:rsidRPr="00FC6DDA">
              <w:t>5 176 897,60</w:t>
            </w:r>
          </w:p>
        </w:tc>
      </w:tr>
      <w:tr w:rsidR="005D33BD" w:rsidRPr="00FC6DDA" w14:paraId="74E5DBE2" w14:textId="77777777" w:rsidTr="005D33BD">
        <w:tc>
          <w:tcPr>
            <w:tcW w:w="3235" w:type="dxa"/>
          </w:tcPr>
          <w:p w14:paraId="595889B7" w14:textId="5C50D22C" w:rsidR="005D33BD" w:rsidRPr="00FC6DDA" w:rsidRDefault="001C2A9D" w:rsidP="00C33ABB">
            <w:pPr>
              <w:jc w:val="center"/>
              <w:rPr>
                <w:lang w:val="en-US"/>
              </w:rPr>
            </w:pPr>
            <w:r w:rsidRPr="00FC6DDA">
              <w:rPr>
                <w:lang w:val="en-US"/>
              </w:rPr>
              <w:t>Total</w:t>
            </w:r>
          </w:p>
        </w:tc>
        <w:tc>
          <w:tcPr>
            <w:tcW w:w="1278" w:type="dxa"/>
            <w:vAlign w:val="bottom"/>
          </w:tcPr>
          <w:p w14:paraId="34A8168F" w14:textId="77777777" w:rsidR="005D33BD" w:rsidRPr="00FC6DDA" w:rsidRDefault="005D33BD" w:rsidP="00C33ABB">
            <w:pPr>
              <w:jc w:val="center"/>
            </w:pPr>
            <w:r w:rsidRPr="00FC6DDA">
              <w:t>9 592 200</w:t>
            </w:r>
          </w:p>
        </w:tc>
        <w:tc>
          <w:tcPr>
            <w:tcW w:w="1279" w:type="dxa"/>
            <w:vAlign w:val="bottom"/>
          </w:tcPr>
          <w:p w14:paraId="2F764710" w14:textId="77777777" w:rsidR="005D33BD" w:rsidRPr="00FC6DDA" w:rsidRDefault="005D33BD" w:rsidP="00C33ABB">
            <w:pPr>
              <w:jc w:val="center"/>
            </w:pPr>
            <w:r w:rsidRPr="00FC6DDA">
              <w:t>8 668 100</w:t>
            </w:r>
          </w:p>
        </w:tc>
        <w:tc>
          <w:tcPr>
            <w:tcW w:w="1278" w:type="dxa"/>
            <w:vAlign w:val="bottom"/>
          </w:tcPr>
          <w:p w14:paraId="679105DB" w14:textId="77777777" w:rsidR="005D33BD" w:rsidRPr="00FC6DDA" w:rsidRDefault="005D33BD" w:rsidP="00C33ABB">
            <w:pPr>
              <w:jc w:val="center"/>
            </w:pPr>
            <w:r w:rsidRPr="00FC6DDA">
              <w:t>9 886 100</w:t>
            </w:r>
          </w:p>
        </w:tc>
        <w:tc>
          <w:tcPr>
            <w:tcW w:w="1279" w:type="dxa"/>
            <w:vAlign w:val="bottom"/>
          </w:tcPr>
          <w:p w14:paraId="419A829E" w14:textId="77777777" w:rsidR="005D33BD" w:rsidRPr="00FC6DDA" w:rsidRDefault="005D33BD" w:rsidP="00C33ABB">
            <w:pPr>
              <w:jc w:val="center"/>
            </w:pPr>
            <w:r w:rsidRPr="00FC6DDA">
              <w:t>7</w:t>
            </w:r>
            <w:r w:rsidRPr="00FC6DDA">
              <w:rPr>
                <w:lang w:val="kk-KZ"/>
              </w:rPr>
              <w:t> </w:t>
            </w:r>
            <w:r w:rsidRPr="00FC6DDA">
              <w:t>989 000</w:t>
            </w:r>
          </w:p>
        </w:tc>
        <w:tc>
          <w:tcPr>
            <w:tcW w:w="1279" w:type="dxa"/>
            <w:vAlign w:val="bottom"/>
          </w:tcPr>
          <w:p w14:paraId="5F91BBFE" w14:textId="77777777" w:rsidR="005D33BD" w:rsidRPr="00FC6DDA" w:rsidRDefault="005D33BD" w:rsidP="00C33ABB">
            <w:pPr>
              <w:jc w:val="center"/>
            </w:pPr>
            <w:r w:rsidRPr="00FC6DDA">
              <w:t>8 544 400</w:t>
            </w:r>
          </w:p>
        </w:tc>
      </w:tr>
    </w:tbl>
    <w:p w14:paraId="4FAEF916" w14:textId="513496BE" w:rsidR="005D33BD" w:rsidRPr="00FC6DDA" w:rsidRDefault="00BA5D6A" w:rsidP="005D33BD">
      <w:pPr>
        <w:rPr>
          <w:sz w:val="20"/>
          <w:szCs w:val="20"/>
          <w:lang w:val="en-US"/>
        </w:rPr>
      </w:pPr>
      <w:r w:rsidRPr="00FC6DDA">
        <w:rPr>
          <w:sz w:val="20"/>
          <w:szCs w:val="20"/>
          <w:lang w:val="en-US"/>
        </w:rPr>
        <w:t xml:space="preserve">Note – In </w:t>
      </w:r>
      <w:r w:rsidR="001C2A9D" w:rsidRPr="00FC6DDA">
        <w:rPr>
          <w:sz w:val="20"/>
          <w:szCs w:val="20"/>
          <w:lang w:val="en-US"/>
        </w:rPr>
        <w:t>accordance with sources</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5D33BD" w:rsidRPr="00FC6DDA">
        <w:rPr>
          <w:sz w:val="20"/>
          <w:szCs w:val="20"/>
          <w:lang w:val="en-US"/>
        </w:rPr>
        <w:t xml:space="preserve"> - 1</w:t>
      </w:r>
      <w:r w:rsidR="00E070BA" w:rsidRPr="00FC6DDA">
        <w:rPr>
          <w:sz w:val="20"/>
          <w:szCs w:val="20"/>
          <w:lang w:val="en-US"/>
        </w:rPr>
        <w:t>8</w:t>
      </w:r>
      <w:r w:rsidR="005D33BD" w:rsidRPr="00FC6DDA">
        <w:rPr>
          <w:sz w:val="20"/>
          <w:szCs w:val="20"/>
          <w:lang w:val="en-US"/>
        </w:rPr>
        <w:t>]</w:t>
      </w:r>
    </w:p>
    <w:p w14:paraId="122B2E3D" w14:textId="77777777" w:rsidR="001B601D" w:rsidRPr="00FC6DDA" w:rsidRDefault="001B601D" w:rsidP="005D33BD">
      <w:pPr>
        <w:rPr>
          <w:sz w:val="20"/>
          <w:szCs w:val="20"/>
          <w:lang w:val="en-US"/>
        </w:rPr>
      </w:pPr>
    </w:p>
    <w:p w14:paraId="31315A6C" w14:textId="5AB6A1B8" w:rsidR="005D33BD" w:rsidRPr="00FC6DDA" w:rsidRDefault="005D33BD" w:rsidP="005D33BD">
      <w:pPr>
        <w:ind w:firstLine="720"/>
        <w:rPr>
          <w:sz w:val="28"/>
          <w:szCs w:val="28"/>
        </w:rPr>
      </w:pPr>
      <w:r w:rsidRPr="00FC6DDA">
        <w:rPr>
          <w:noProof/>
          <w:sz w:val="28"/>
          <w:szCs w:val="28"/>
          <w:lang w:val="en-GB" w:eastAsia="en-GB"/>
        </w:rPr>
        <w:lastRenderedPageBreak/>
        <w:drawing>
          <wp:inline distT="0" distB="0" distL="0" distR="0" wp14:anchorId="793A9889" wp14:editId="06EB79DF">
            <wp:extent cx="5486400" cy="2327247"/>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BA6E80" w14:textId="490AC415" w:rsidR="005D33BD" w:rsidRPr="00FC6DDA" w:rsidRDefault="00BA5D6A" w:rsidP="005D33BD">
      <w:pPr>
        <w:ind w:firstLine="540"/>
        <w:rPr>
          <w:sz w:val="20"/>
          <w:szCs w:val="20"/>
          <w:lang w:val="en-US"/>
        </w:rPr>
      </w:pPr>
      <w:r w:rsidRPr="00FC6DDA">
        <w:rPr>
          <w:sz w:val="20"/>
          <w:szCs w:val="20"/>
          <w:lang w:val="en-US"/>
        </w:rPr>
        <w:t xml:space="preserve">Note – In </w:t>
      </w:r>
      <w:r w:rsidR="00720536" w:rsidRPr="00FC6DDA">
        <w:rPr>
          <w:sz w:val="20"/>
          <w:szCs w:val="20"/>
          <w:lang w:val="en-US"/>
        </w:rPr>
        <w:t>accordance with sources</w:t>
      </w:r>
      <w:r w:rsidR="005D33BD"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5D33BD" w:rsidRPr="00FC6DDA">
        <w:rPr>
          <w:sz w:val="20"/>
          <w:szCs w:val="20"/>
          <w:lang w:val="en-US"/>
        </w:rPr>
        <w:t xml:space="preserve"> - 1</w:t>
      </w:r>
      <w:r w:rsidR="00E070BA" w:rsidRPr="00FC6DDA">
        <w:rPr>
          <w:sz w:val="20"/>
          <w:szCs w:val="20"/>
          <w:lang w:val="en-US"/>
        </w:rPr>
        <w:t>8</w:t>
      </w:r>
      <w:r w:rsidR="005D33BD" w:rsidRPr="00FC6DDA">
        <w:rPr>
          <w:sz w:val="20"/>
          <w:szCs w:val="20"/>
          <w:lang w:val="en-US"/>
        </w:rPr>
        <w:t>]</w:t>
      </w:r>
    </w:p>
    <w:p w14:paraId="6AE8AEE6" w14:textId="77777777" w:rsidR="005D33BD" w:rsidRPr="00FC6DDA" w:rsidRDefault="005D33BD" w:rsidP="005D33BD">
      <w:pPr>
        <w:ind w:firstLine="567"/>
        <w:jc w:val="both"/>
        <w:rPr>
          <w:lang w:val="en-US"/>
        </w:rPr>
      </w:pPr>
    </w:p>
    <w:p w14:paraId="4D66BBAC" w14:textId="2B14BE7E" w:rsidR="005D33BD" w:rsidRPr="00FC6DDA" w:rsidRDefault="00720536" w:rsidP="00EE4EA2">
      <w:pPr>
        <w:ind w:firstLine="567"/>
        <w:jc w:val="center"/>
        <w:rPr>
          <w:lang w:val="en-US"/>
        </w:rPr>
      </w:pPr>
      <w:r w:rsidRPr="00FC6DDA">
        <w:rPr>
          <w:lang w:val="en-US"/>
        </w:rPr>
        <w:t>Figure</w:t>
      </w:r>
      <w:r w:rsidR="005D33BD" w:rsidRPr="00FC6DDA">
        <w:rPr>
          <w:lang w:val="en-US"/>
        </w:rPr>
        <w:t xml:space="preserve"> 3 – </w:t>
      </w:r>
      <w:r w:rsidRPr="00FC6DDA">
        <w:rPr>
          <w:lang w:val="en-US"/>
        </w:rPr>
        <w:t>Dynamics of the structure of services related to tourism activities in the context of their enlarged types</w:t>
      </w:r>
      <w:r w:rsidR="00FC6DDA" w:rsidRPr="00FC6DDA">
        <w:rPr>
          <w:lang w:val="en-US"/>
        </w:rPr>
        <w:t>, %</w:t>
      </w:r>
    </w:p>
    <w:p w14:paraId="36EDF700" w14:textId="77777777" w:rsidR="00EE4EA2" w:rsidRPr="00FC6DDA" w:rsidRDefault="00EE4EA2" w:rsidP="001B601D">
      <w:pPr>
        <w:ind w:firstLine="567"/>
        <w:jc w:val="both"/>
        <w:rPr>
          <w:lang w:val="en-US"/>
        </w:rPr>
      </w:pPr>
    </w:p>
    <w:p w14:paraId="0071CC3B" w14:textId="6091313D" w:rsidR="001B601D" w:rsidRPr="00FC6DDA" w:rsidRDefault="001B601D" w:rsidP="001B601D">
      <w:pPr>
        <w:ind w:firstLine="567"/>
        <w:jc w:val="both"/>
        <w:rPr>
          <w:lang w:val="en-US"/>
        </w:rPr>
      </w:pPr>
      <w:r w:rsidRPr="00FC6DDA">
        <w:rPr>
          <w:lang w:val="en-US"/>
        </w:rPr>
        <w:t>As part of the growth dynamics of accommodation services, positive dynamics occurs in the following districts of the Pavlodar region:</w:t>
      </w:r>
    </w:p>
    <w:p w14:paraId="28B4966D" w14:textId="77777777" w:rsidR="001B601D" w:rsidRPr="00FC6DDA" w:rsidRDefault="001B601D" w:rsidP="001B601D">
      <w:pPr>
        <w:ind w:firstLine="567"/>
        <w:jc w:val="both"/>
        <w:rPr>
          <w:lang w:val="en-US"/>
        </w:rPr>
      </w:pPr>
      <w:r w:rsidRPr="00FC6DDA">
        <w:rPr>
          <w:lang w:val="en-US"/>
        </w:rPr>
        <w:t>- the city of Pavlodar;</w:t>
      </w:r>
    </w:p>
    <w:p w14:paraId="32FBA6C5" w14:textId="77777777" w:rsidR="001B601D" w:rsidRPr="00FC6DDA" w:rsidRDefault="001B601D" w:rsidP="001B601D">
      <w:pPr>
        <w:ind w:firstLine="567"/>
        <w:jc w:val="both"/>
        <w:rPr>
          <w:lang w:val="en-US"/>
        </w:rPr>
      </w:pPr>
      <w:r w:rsidRPr="00FC6DDA">
        <w:rPr>
          <w:lang w:val="en-US"/>
        </w:rPr>
        <w:t>- the cities of Aksu and Ekibastuz;</w:t>
      </w:r>
    </w:p>
    <w:p w14:paraId="7B39AA5E" w14:textId="77777777" w:rsidR="001B601D" w:rsidRPr="00FC6DDA" w:rsidRDefault="001B601D" w:rsidP="001B601D">
      <w:pPr>
        <w:ind w:firstLine="567"/>
        <w:jc w:val="both"/>
        <w:rPr>
          <w:lang w:val="en-US"/>
        </w:rPr>
      </w:pPr>
      <w:r w:rsidRPr="00FC6DDA">
        <w:rPr>
          <w:lang w:val="en-US"/>
        </w:rPr>
        <w:t>- Bayanaul district.</w:t>
      </w:r>
    </w:p>
    <w:p w14:paraId="4A1876FA" w14:textId="3B9F161D" w:rsidR="005D33BD" w:rsidRPr="00FC6DDA" w:rsidRDefault="00720536" w:rsidP="005D33BD">
      <w:pPr>
        <w:widowControl w:val="0"/>
        <w:ind w:firstLine="567"/>
        <w:jc w:val="both"/>
        <w:rPr>
          <w:lang w:val="en-US"/>
        </w:rPr>
      </w:pPr>
      <w:r w:rsidRPr="00FC6DDA">
        <w:rPr>
          <w:lang w:val="en-US"/>
        </w:rPr>
        <w:t>Good positive dynamics of accommodation services was typical for Bayanaul district. The growth rate of this type of service was</w:t>
      </w:r>
      <w:r w:rsidR="005D33BD" w:rsidRPr="00FC6DDA">
        <w:rPr>
          <w:lang w:val="en-US"/>
        </w:rPr>
        <w:t>:</w:t>
      </w:r>
    </w:p>
    <w:p w14:paraId="27993A46" w14:textId="61201AB8" w:rsidR="005D33BD" w:rsidRPr="00FC6DDA" w:rsidRDefault="005D33BD" w:rsidP="005D33BD">
      <w:pPr>
        <w:widowControl w:val="0"/>
        <w:ind w:firstLine="567"/>
        <w:jc w:val="both"/>
        <w:rPr>
          <w:lang w:val="en-US"/>
        </w:rPr>
      </w:pPr>
      <w:r w:rsidRPr="00FC6DDA">
        <w:rPr>
          <w:lang w:val="en-US"/>
        </w:rPr>
        <w:t>- 2017 – 105,4%;</w:t>
      </w:r>
    </w:p>
    <w:p w14:paraId="3880F480" w14:textId="1F7F4B6F" w:rsidR="00AC6119" w:rsidRPr="00FC6DDA" w:rsidRDefault="005D33BD" w:rsidP="005D33BD">
      <w:pPr>
        <w:widowControl w:val="0"/>
        <w:ind w:firstLine="567"/>
        <w:jc w:val="both"/>
        <w:rPr>
          <w:lang w:val="en-US"/>
        </w:rPr>
      </w:pPr>
      <w:r w:rsidRPr="00FC6DDA">
        <w:rPr>
          <w:lang w:val="en-US"/>
        </w:rPr>
        <w:t>- 2018 – 111,8%</w:t>
      </w:r>
      <w:r w:rsidR="00AC6119" w:rsidRPr="00FC6DDA">
        <w:rPr>
          <w:lang w:val="en-US"/>
        </w:rPr>
        <w:t>;</w:t>
      </w:r>
    </w:p>
    <w:p w14:paraId="3C5D6705" w14:textId="51B87E17" w:rsidR="005D33BD" w:rsidRPr="00FC6DDA" w:rsidRDefault="00AC6119" w:rsidP="005D33BD">
      <w:pPr>
        <w:widowControl w:val="0"/>
        <w:ind w:firstLine="567"/>
        <w:jc w:val="both"/>
        <w:rPr>
          <w:lang w:val="en-US"/>
        </w:rPr>
      </w:pPr>
      <w:r w:rsidRPr="00FC6DDA">
        <w:rPr>
          <w:lang w:val="en-US"/>
        </w:rPr>
        <w:t>- 2019 – 114%</w:t>
      </w:r>
      <w:r w:rsidR="005D33BD" w:rsidRPr="00FC6DDA">
        <w:rPr>
          <w:lang w:val="en-US"/>
        </w:rPr>
        <w:t xml:space="preserve"> (</w:t>
      </w:r>
      <w:r w:rsidR="00BA5D6A" w:rsidRPr="00FC6DDA">
        <w:rPr>
          <w:lang w:val="en-US"/>
        </w:rPr>
        <w:t>F</w:t>
      </w:r>
      <w:r w:rsidR="00720536" w:rsidRPr="00FC6DDA">
        <w:rPr>
          <w:lang w:val="en-US"/>
        </w:rPr>
        <w:t>igure</w:t>
      </w:r>
      <w:r w:rsidR="005D33BD" w:rsidRPr="00FC6DDA">
        <w:rPr>
          <w:lang w:val="en-US"/>
        </w:rPr>
        <w:t xml:space="preserve"> 4).</w:t>
      </w:r>
    </w:p>
    <w:p w14:paraId="507374BF" w14:textId="785292BC" w:rsidR="005D33BD" w:rsidRPr="00FC6DDA" w:rsidRDefault="005D33BD" w:rsidP="004014E7">
      <w:pPr>
        <w:widowControl w:val="0"/>
        <w:ind w:firstLine="567"/>
        <w:jc w:val="both"/>
        <w:rPr>
          <w:b/>
          <w:bCs/>
          <w:lang w:val="en-US"/>
        </w:rPr>
      </w:pPr>
    </w:p>
    <w:p w14:paraId="422A155A" w14:textId="77777777" w:rsidR="00761B41" w:rsidRPr="00FC6DDA" w:rsidRDefault="00761B41" w:rsidP="00761B41">
      <w:pPr>
        <w:ind w:firstLine="360"/>
        <w:rPr>
          <w:sz w:val="28"/>
          <w:szCs w:val="28"/>
        </w:rPr>
      </w:pPr>
      <w:r w:rsidRPr="00FC6DDA">
        <w:rPr>
          <w:noProof/>
          <w:sz w:val="28"/>
          <w:szCs w:val="28"/>
          <w:lang w:val="en-GB" w:eastAsia="en-GB"/>
        </w:rPr>
        <w:drawing>
          <wp:inline distT="0" distB="0" distL="0" distR="0" wp14:anchorId="0B0ADF91" wp14:editId="6226DC05">
            <wp:extent cx="5486400" cy="1844206"/>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15F07E" w14:textId="56B509EB" w:rsidR="003A1967" w:rsidRPr="00FC6DDA" w:rsidRDefault="00BA5D6A" w:rsidP="003A1967">
      <w:pPr>
        <w:ind w:firstLine="540"/>
        <w:rPr>
          <w:sz w:val="20"/>
          <w:szCs w:val="20"/>
          <w:lang w:val="en-US"/>
        </w:rPr>
      </w:pPr>
      <w:r w:rsidRPr="00FC6DDA">
        <w:rPr>
          <w:sz w:val="20"/>
          <w:szCs w:val="20"/>
          <w:lang w:val="en-US"/>
        </w:rPr>
        <w:t xml:space="preserve">Note – In </w:t>
      </w:r>
      <w:r w:rsidR="00720536" w:rsidRPr="00FC6DDA">
        <w:rPr>
          <w:sz w:val="20"/>
          <w:szCs w:val="20"/>
          <w:lang w:val="en-US"/>
        </w:rPr>
        <w:t>accordance with</w:t>
      </w:r>
      <w:r w:rsidR="003A1967" w:rsidRPr="00FC6DDA">
        <w:rPr>
          <w:sz w:val="20"/>
          <w:szCs w:val="20"/>
          <w:lang w:val="en-US"/>
        </w:rPr>
        <w:t xml:space="preserve"> [</w:t>
      </w:r>
      <w:r w:rsidR="00BC126D" w:rsidRPr="00FC6DDA">
        <w:rPr>
          <w:sz w:val="20"/>
          <w:szCs w:val="20"/>
          <w:lang w:val="en-US"/>
        </w:rPr>
        <w:t>1</w:t>
      </w:r>
      <w:r w:rsidR="00E070BA" w:rsidRPr="00FC6DDA">
        <w:rPr>
          <w:sz w:val="20"/>
          <w:szCs w:val="20"/>
          <w:lang w:val="en-US"/>
        </w:rPr>
        <w:t>4</w:t>
      </w:r>
      <w:r w:rsidR="003A1967" w:rsidRPr="00FC6DDA">
        <w:rPr>
          <w:sz w:val="20"/>
          <w:szCs w:val="20"/>
          <w:lang w:val="en-US"/>
        </w:rPr>
        <w:t xml:space="preserve"> - 1</w:t>
      </w:r>
      <w:r w:rsidR="00E070BA" w:rsidRPr="00FC6DDA">
        <w:rPr>
          <w:sz w:val="20"/>
          <w:szCs w:val="20"/>
          <w:lang w:val="en-US"/>
        </w:rPr>
        <w:t>8</w:t>
      </w:r>
      <w:r w:rsidR="003A1967" w:rsidRPr="00FC6DDA">
        <w:rPr>
          <w:sz w:val="20"/>
          <w:szCs w:val="20"/>
          <w:lang w:val="en-US"/>
        </w:rPr>
        <w:t>]</w:t>
      </w:r>
    </w:p>
    <w:p w14:paraId="2265DE1A" w14:textId="77777777" w:rsidR="003A1967" w:rsidRPr="00FC6DDA" w:rsidRDefault="003A1967" w:rsidP="00761B41">
      <w:pPr>
        <w:ind w:firstLine="567"/>
        <w:jc w:val="both"/>
        <w:rPr>
          <w:lang w:val="en-US"/>
        </w:rPr>
      </w:pPr>
    </w:p>
    <w:p w14:paraId="6381F117" w14:textId="0DBDBB16" w:rsidR="00761B41" w:rsidRPr="00FC6DDA" w:rsidRDefault="00720536" w:rsidP="00EE4EA2">
      <w:pPr>
        <w:ind w:firstLine="567"/>
        <w:jc w:val="center"/>
        <w:rPr>
          <w:lang w:val="en-US"/>
        </w:rPr>
      </w:pPr>
      <w:r w:rsidRPr="00FC6DDA">
        <w:rPr>
          <w:lang w:val="en-US"/>
        </w:rPr>
        <w:t>Figure</w:t>
      </w:r>
      <w:r w:rsidR="00761B41" w:rsidRPr="00FC6DDA">
        <w:rPr>
          <w:lang w:val="en-US"/>
        </w:rPr>
        <w:t xml:space="preserve"> 4 – </w:t>
      </w:r>
      <w:r w:rsidRPr="00FC6DDA">
        <w:rPr>
          <w:lang w:val="en-US"/>
        </w:rPr>
        <w:t>Growth rate of accommodation services in Bayanaul district</w:t>
      </w:r>
      <w:r w:rsidR="00FC6DDA" w:rsidRPr="00FC6DDA">
        <w:rPr>
          <w:lang w:val="en-US"/>
        </w:rPr>
        <w:t>, %</w:t>
      </w:r>
    </w:p>
    <w:p w14:paraId="1265F21F" w14:textId="77777777" w:rsidR="00FD499A" w:rsidRPr="00FC6DDA" w:rsidRDefault="00FD499A" w:rsidP="001B601D">
      <w:pPr>
        <w:ind w:firstLine="567"/>
        <w:jc w:val="both"/>
        <w:rPr>
          <w:lang w:val="en-US"/>
        </w:rPr>
      </w:pPr>
    </w:p>
    <w:p w14:paraId="45F1D5AA" w14:textId="62DEA4D2" w:rsidR="00720536" w:rsidRPr="00FC6DDA" w:rsidRDefault="00720536" w:rsidP="001B601D">
      <w:pPr>
        <w:ind w:firstLine="567"/>
        <w:jc w:val="both"/>
        <w:rPr>
          <w:lang w:val="en-US"/>
        </w:rPr>
      </w:pPr>
      <w:r w:rsidRPr="00FC6DDA">
        <w:rPr>
          <w:lang w:val="en-US"/>
        </w:rPr>
        <w:t>At the regional level, the demand for services related to tourism activities is formed by two types of subjects of market relations:</w:t>
      </w:r>
    </w:p>
    <w:p w14:paraId="699EA41C" w14:textId="77777777" w:rsidR="00720536" w:rsidRPr="00FC6DDA" w:rsidRDefault="00720536" w:rsidP="001B601D">
      <w:pPr>
        <w:ind w:firstLine="567"/>
        <w:jc w:val="both"/>
        <w:rPr>
          <w:lang w:val="en-US"/>
        </w:rPr>
      </w:pPr>
      <w:r w:rsidRPr="00FC6DDA">
        <w:rPr>
          <w:lang w:val="en-US"/>
        </w:rPr>
        <w:t>- individuals (population);</w:t>
      </w:r>
    </w:p>
    <w:p w14:paraId="060ABFB6" w14:textId="77777777" w:rsidR="00720536" w:rsidRPr="00FC6DDA" w:rsidRDefault="00720536" w:rsidP="001B601D">
      <w:pPr>
        <w:ind w:firstLine="567"/>
        <w:jc w:val="both"/>
        <w:rPr>
          <w:lang w:val="en-US"/>
        </w:rPr>
      </w:pPr>
      <w:r w:rsidRPr="00FC6DDA">
        <w:rPr>
          <w:lang w:val="en-US"/>
        </w:rPr>
        <w:t>- legal entities.</w:t>
      </w:r>
    </w:p>
    <w:p w14:paraId="65694E0E" w14:textId="3CFD9044" w:rsidR="00720536" w:rsidRPr="00FC6DDA" w:rsidRDefault="00720536" w:rsidP="001B601D">
      <w:pPr>
        <w:ind w:firstLine="567"/>
        <w:jc w:val="both"/>
        <w:rPr>
          <w:lang w:val="en-US"/>
        </w:rPr>
      </w:pPr>
      <w:r w:rsidRPr="00FC6DDA">
        <w:rPr>
          <w:lang w:val="en-US"/>
        </w:rPr>
        <w:t>It should be noted that there is a decrease in demand for tourist services from individuals (</w:t>
      </w:r>
      <w:r w:rsidR="00BA5D6A" w:rsidRPr="00FC6DDA">
        <w:rPr>
          <w:lang w:val="en-US"/>
        </w:rPr>
        <w:t>T</w:t>
      </w:r>
      <w:r w:rsidRPr="00FC6DDA">
        <w:rPr>
          <w:lang w:val="en-US"/>
        </w:rPr>
        <w:t>able 4).</w:t>
      </w:r>
    </w:p>
    <w:p w14:paraId="18A1D187" w14:textId="77777777" w:rsidR="001B601D" w:rsidRPr="00FC6DDA" w:rsidRDefault="001B601D" w:rsidP="00720536">
      <w:pPr>
        <w:jc w:val="both"/>
        <w:rPr>
          <w:lang w:val="en-US"/>
        </w:rPr>
      </w:pPr>
    </w:p>
    <w:p w14:paraId="61639059" w14:textId="2BD593F1" w:rsidR="00AC6119" w:rsidRPr="00FC6DDA" w:rsidRDefault="00720536" w:rsidP="00FC6DDA">
      <w:pPr>
        <w:jc w:val="both"/>
        <w:rPr>
          <w:lang w:val="en-US"/>
        </w:rPr>
      </w:pPr>
      <w:r w:rsidRPr="00FC6DDA">
        <w:rPr>
          <w:lang w:val="en-US"/>
        </w:rPr>
        <w:t xml:space="preserve">Table 4 </w:t>
      </w:r>
      <w:r w:rsidR="00A55CD2" w:rsidRPr="00FC6DDA">
        <w:rPr>
          <w:lang w:val="en-US"/>
        </w:rPr>
        <w:t>–</w:t>
      </w:r>
      <w:r w:rsidRPr="00FC6DDA">
        <w:rPr>
          <w:lang w:val="en-US"/>
        </w:rPr>
        <w:t xml:space="preserve"> Dynamics of services related to tourism activities, in the context of major consumers</w:t>
      </w:r>
      <w:r w:rsidR="00FC6DDA" w:rsidRPr="00FC6DDA">
        <w:rPr>
          <w:lang w:val="en-US"/>
        </w:rPr>
        <w:t>, a thousand</w:t>
      </w:r>
      <w:r w:rsidRPr="00FC6DDA">
        <w:rPr>
          <w:lang w:val="en-US"/>
        </w:rPr>
        <w:t xml:space="preserve"> tenge</w:t>
      </w:r>
    </w:p>
    <w:tbl>
      <w:tblPr>
        <w:tblStyle w:val="TableGrid"/>
        <w:tblW w:w="0" w:type="auto"/>
        <w:tblLook w:val="04A0" w:firstRow="1" w:lastRow="0" w:firstColumn="1" w:lastColumn="0" w:noHBand="0" w:noVBand="1"/>
      </w:tblPr>
      <w:tblGrid>
        <w:gridCol w:w="3235"/>
        <w:gridCol w:w="1278"/>
        <w:gridCol w:w="1279"/>
        <w:gridCol w:w="1278"/>
        <w:gridCol w:w="1279"/>
        <w:gridCol w:w="1279"/>
      </w:tblGrid>
      <w:tr w:rsidR="00AC6119" w:rsidRPr="00FC6DDA" w14:paraId="7925EC7E" w14:textId="77777777" w:rsidTr="00C33ABB">
        <w:tc>
          <w:tcPr>
            <w:tcW w:w="3235" w:type="dxa"/>
            <w:vMerge w:val="restart"/>
          </w:tcPr>
          <w:p w14:paraId="43A59AD8" w14:textId="66839CE1" w:rsidR="00AC6119" w:rsidRPr="00FC6DDA" w:rsidRDefault="008D4CCA" w:rsidP="00C33ABB">
            <w:pPr>
              <w:jc w:val="center"/>
              <w:rPr>
                <w:lang w:val="en-US"/>
              </w:rPr>
            </w:pPr>
            <w:r w:rsidRPr="00FC6DDA">
              <w:rPr>
                <w:lang w:val="en-US"/>
              </w:rPr>
              <w:lastRenderedPageBreak/>
              <w:t>Index</w:t>
            </w:r>
          </w:p>
        </w:tc>
        <w:tc>
          <w:tcPr>
            <w:tcW w:w="6393" w:type="dxa"/>
            <w:gridSpan w:val="5"/>
          </w:tcPr>
          <w:p w14:paraId="43323B9E" w14:textId="1DA5BFF3" w:rsidR="00AC6119" w:rsidRPr="00FC6DDA" w:rsidRDefault="00EE4EA2" w:rsidP="00C33ABB">
            <w:pPr>
              <w:jc w:val="center"/>
              <w:rPr>
                <w:lang w:val="en-US"/>
              </w:rPr>
            </w:pPr>
            <w:r w:rsidRPr="00FC6DDA">
              <w:rPr>
                <w:lang w:val="en-US"/>
              </w:rPr>
              <w:t>Year</w:t>
            </w:r>
          </w:p>
        </w:tc>
      </w:tr>
      <w:tr w:rsidR="00AC6119" w:rsidRPr="00FC6DDA" w14:paraId="34DACD4C" w14:textId="77777777" w:rsidTr="00C33ABB">
        <w:tc>
          <w:tcPr>
            <w:tcW w:w="3235" w:type="dxa"/>
            <w:vMerge/>
          </w:tcPr>
          <w:p w14:paraId="3EEEA4A5" w14:textId="77777777" w:rsidR="00AC6119" w:rsidRPr="00FC6DDA" w:rsidRDefault="00AC6119" w:rsidP="00C33ABB">
            <w:pPr>
              <w:jc w:val="center"/>
            </w:pPr>
          </w:p>
        </w:tc>
        <w:tc>
          <w:tcPr>
            <w:tcW w:w="1278" w:type="dxa"/>
          </w:tcPr>
          <w:p w14:paraId="642F25FB" w14:textId="77777777" w:rsidR="00AC6119" w:rsidRPr="00FC6DDA" w:rsidRDefault="00AC6119" w:rsidP="00C33ABB">
            <w:pPr>
              <w:jc w:val="center"/>
            </w:pPr>
            <w:r w:rsidRPr="00FC6DDA">
              <w:t>2015</w:t>
            </w:r>
          </w:p>
        </w:tc>
        <w:tc>
          <w:tcPr>
            <w:tcW w:w="1279" w:type="dxa"/>
          </w:tcPr>
          <w:p w14:paraId="7FD0F86E" w14:textId="77777777" w:rsidR="00AC6119" w:rsidRPr="00FC6DDA" w:rsidRDefault="00AC6119" w:rsidP="00C33ABB">
            <w:pPr>
              <w:jc w:val="center"/>
            </w:pPr>
            <w:r w:rsidRPr="00FC6DDA">
              <w:t>2016</w:t>
            </w:r>
          </w:p>
        </w:tc>
        <w:tc>
          <w:tcPr>
            <w:tcW w:w="1278" w:type="dxa"/>
          </w:tcPr>
          <w:p w14:paraId="0ED78388" w14:textId="77777777" w:rsidR="00AC6119" w:rsidRPr="00FC6DDA" w:rsidRDefault="00AC6119" w:rsidP="00C33ABB">
            <w:pPr>
              <w:jc w:val="center"/>
            </w:pPr>
            <w:r w:rsidRPr="00FC6DDA">
              <w:t>2017</w:t>
            </w:r>
          </w:p>
        </w:tc>
        <w:tc>
          <w:tcPr>
            <w:tcW w:w="1279" w:type="dxa"/>
          </w:tcPr>
          <w:p w14:paraId="7CDDBDB6" w14:textId="77777777" w:rsidR="00AC6119" w:rsidRPr="00FC6DDA" w:rsidRDefault="00AC6119" w:rsidP="00C33ABB">
            <w:pPr>
              <w:jc w:val="center"/>
            </w:pPr>
            <w:r w:rsidRPr="00FC6DDA">
              <w:t>2018</w:t>
            </w:r>
          </w:p>
        </w:tc>
        <w:tc>
          <w:tcPr>
            <w:tcW w:w="1279" w:type="dxa"/>
          </w:tcPr>
          <w:p w14:paraId="61C3EFFE" w14:textId="77777777" w:rsidR="00AC6119" w:rsidRPr="00FC6DDA" w:rsidRDefault="00AC6119" w:rsidP="00C33ABB">
            <w:pPr>
              <w:jc w:val="center"/>
            </w:pPr>
            <w:r w:rsidRPr="00FC6DDA">
              <w:t>2019</w:t>
            </w:r>
          </w:p>
        </w:tc>
      </w:tr>
      <w:tr w:rsidR="00AC6119" w:rsidRPr="00FC6DDA" w14:paraId="38F78B40" w14:textId="77777777" w:rsidTr="00C33ABB">
        <w:tc>
          <w:tcPr>
            <w:tcW w:w="3235" w:type="dxa"/>
          </w:tcPr>
          <w:p w14:paraId="4902B746" w14:textId="4B841757" w:rsidR="00AC6119" w:rsidRPr="00FC6DDA" w:rsidRDefault="00720536" w:rsidP="00C33ABB">
            <w:pPr>
              <w:jc w:val="both"/>
            </w:pPr>
            <w:r w:rsidRPr="00FC6DDA">
              <w:t>Individuals (population)</w:t>
            </w:r>
          </w:p>
        </w:tc>
        <w:tc>
          <w:tcPr>
            <w:tcW w:w="1278" w:type="dxa"/>
            <w:vAlign w:val="bottom"/>
          </w:tcPr>
          <w:p w14:paraId="083DCA08" w14:textId="77777777" w:rsidR="00AC6119" w:rsidRPr="00FC6DDA" w:rsidRDefault="00AC6119" w:rsidP="00C33ABB">
            <w:pPr>
              <w:jc w:val="center"/>
            </w:pPr>
            <w:r w:rsidRPr="00FC6DDA">
              <w:t>3 044 400</w:t>
            </w:r>
          </w:p>
        </w:tc>
        <w:tc>
          <w:tcPr>
            <w:tcW w:w="1279" w:type="dxa"/>
            <w:vAlign w:val="bottom"/>
          </w:tcPr>
          <w:p w14:paraId="457C40F7" w14:textId="77777777" w:rsidR="00AC6119" w:rsidRPr="00FC6DDA" w:rsidRDefault="00AC6119" w:rsidP="00C33ABB">
            <w:pPr>
              <w:jc w:val="center"/>
            </w:pPr>
            <w:r w:rsidRPr="00FC6DDA">
              <w:t>1 665 100</w:t>
            </w:r>
          </w:p>
        </w:tc>
        <w:tc>
          <w:tcPr>
            <w:tcW w:w="1278" w:type="dxa"/>
            <w:vAlign w:val="bottom"/>
          </w:tcPr>
          <w:p w14:paraId="4AD51614" w14:textId="77777777" w:rsidR="00AC6119" w:rsidRPr="00FC6DDA" w:rsidRDefault="00AC6119" w:rsidP="00C33ABB">
            <w:pPr>
              <w:jc w:val="center"/>
            </w:pPr>
            <w:r w:rsidRPr="00FC6DDA">
              <w:t>2 017 800</w:t>
            </w:r>
          </w:p>
        </w:tc>
        <w:tc>
          <w:tcPr>
            <w:tcW w:w="1279" w:type="dxa"/>
            <w:vAlign w:val="bottom"/>
          </w:tcPr>
          <w:p w14:paraId="6BBCC8A4" w14:textId="77777777" w:rsidR="00AC6119" w:rsidRPr="00FC6DDA" w:rsidRDefault="00AC6119" w:rsidP="00C33ABB">
            <w:pPr>
              <w:ind w:left="57"/>
              <w:jc w:val="center"/>
              <w:rPr>
                <w:rFonts w:eastAsia="Arial Unicode MS"/>
              </w:rPr>
            </w:pPr>
            <w:r w:rsidRPr="00FC6DDA">
              <w:rPr>
                <w:rFonts w:eastAsia="Arial Unicode MS"/>
              </w:rPr>
              <w:t>1</w:t>
            </w:r>
            <w:r w:rsidRPr="00FC6DDA">
              <w:rPr>
                <w:rFonts w:eastAsia="Arial Unicode MS"/>
                <w:lang w:val="kk-KZ"/>
              </w:rPr>
              <w:t> </w:t>
            </w:r>
            <w:r w:rsidRPr="00FC6DDA">
              <w:rPr>
                <w:rFonts w:eastAsia="Arial Unicode MS"/>
              </w:rPr>
              <w:t xml:space="preserve">843 </w:t>
            </w:r>
            <w:r w:rsidRPr="00FC6DDA">
              <w:rPr>
                <w:rFonts w:eastAsia="Arial Unicode MS"/>
                <w:lang w:val="en-US"/>
              </w:rPr>
              <w:t>1</w:t>
            </w:r>
            <w:r w:rsidRPr="00FC6DDA">
              <w:rPr>
                <w:rFonts w:eastAsia="Arial Unicode MS"/>
              </w:rPr>
              <w:t>00</w:t>
            </w:r>
          </w:p>
        </w:tc>
        <w:tc>
          <w:tcPr>
            <w:tcW w:w="1279" w:type="dxa"/>
            <w:vAlign w:val="bottom"/>
          </w:tcPr>
          <w:p w14:paraId="446A3171" w14:textId="77777777" w:rsidR="00AC6119" w:rsidRPr="00FC6DDA" w:rsidRDefault="00AC6119" w:rsidP="00C33ABB">
            <w:pPr>
              <w:jc w:val="center"/>
            </w:pPr>
            <w:r w:rsidRPr="00FC6DDA">
              <w:rPr>
                <w:rFonts w:eastAsia="Arial Unicode MS"/>
                <w:lang w:val="kk-KZ"/>
              </w:rPr>
              <w:t>1 644 900</w:t>
            </w:r>
          </w:p>
        </w:tc>
      </w:tr>
      <w:tr w:rsidR="00AC6119" w:rsidRPr="00FC6DDA" w14:paraId="47678A6F" w14:textId="77777777" w:rsidTr="00C33ABB">
        <w:tc>
          <w:tcPr>
            <w:tcW w:w="3235" w:type="dxa"/>
          </w:tcPr>
          <w:p w14:paraId="0BA5EFDE" w14:textId="17D7028A" w:rsidR="00AC6119" w:rsidRPr="00FC6DDA" w:rsidRDefault="00720536" w:rsidP="00C33ABB">
            <w:pPr>
              <w:jc w:val="both"/>
            </w:pPr>
            <w:r w:rsidRPr="00FC6DDA">
              <w:t>Legal entities</w:t>
            </w:r>
          </w:p>
        </w:tc>
        <w:tc>
          <w:tcPr>
            <w:tcW w:w="1278" w:type="dxa"/>
            <w:vAlign w:val="bottom"/>
          </w:tcPr>
          <w:p w14:paraId="77EFD46A" w14:textId="77777777" w:rsidR="00AC6119" w:rsidRPr="00FC6DDA" w:rsidRDefault="00AC6119" w:rsidP="00C33ABB">
            <w:pPr>
              <w:jc w:val="center"/>
            </w:pPr>
            <w:r w:rsidRPr="00FC6DDA">
              <w:t>6 547 800</w:t>
            </w:r>
          </w:p>
        </w:tc>
        <w:tc>
          <w:tcPr>
            <w:tcW w:w="1279" w:type="dxa"/>
            <w:vAlign w:val="bottom"/>
          </w:tcPr>
          <w:p w14:paraId="46B4CC43" w14:textId="77777777" w:rsidR="00AC6119" w:rsidRPr="00FC6DDA" w:rsidRDefault="00AC6119" w:rsidP="00C33ABB">
            <w:pPr>
              <w:jc w:val="center"/>
            </w:pPr>
            <w:r w:rsidRPr="00FC6DDA">
              <w:t>7</w:t>
            </w:r>
            <w:r w:rsidRPr="00FC6DDA">
              <w:rPr>
                <w:lang w:val="kk-KZ"/>
              </w:rPr>
              <w:t> </w:t>
            </w:r>
            <w:r w:rsidRPr="00FC6DDA">
              <w:t>003 000</w:t>
            </w:r>
          </w:p>
        </w:tc>
        <w:tc>
          <w:tcPr>
            <w:tcW w:w="1278" w:type="dxa"/>
            <w:vAlign w:val="bottom"/>
          </w:tcPr>
          <w:p w14:paraId="210CF398" w14:textId="77777777" w:rsidR="00AC6119" w:rsidRPr="00FC6DDA" w:rsidRDefault="00AC6119" w:rsidP="00C33ABB">
            <w:pPr>
              <w:jc w:val="center"/>
            </w:pPr>
            <w:r w:rsidRPr="00FC6DDA">
              <w:t>7 868 200</w:t>
            </w:r>
          </w:p>
        </w:tc>
        <w:tc>
          <w:tcPr>
            <w:tcW w:w="1279" w:type="dxa"/>
            <w:vAlign w:val="bottom"/>
          </w:tcPr>
          <w:p w14:paraId="08E9CC1D" w14:textId="77777777" w:rsidR="00AC6119" w:rsidRPr="00FC6DDA" w:rsidRDefault="00AC6119" w:rsidP="00C33ABB">
            <w:pPr>
              <w:jc w:val="center"/>
            </w:pPr>
            <w:r w:rsidRPr="00FC6DDA">
              <w:rPr>
                <w:lang w:val="en-US"/>
              </w:rPr>
              <w:t>6 145</w:t>
            </w:r>
            <w:r w:rsidRPr="00FC6DDA">
              <w:t xml:space="preserve"> </w:t>
            </w:r>
            <w:r w:rsidRPr="00FC6DDA">
              <w:rPr>
                <w:lang w:val="en-US"/>
              </w:rPr>
              <w:t>9</w:t>
            </w:r>
            <w:r w:rsidRPr="00FC6DDA">
              <w:t>00</w:t>
            </w:r>
          </w:p>
        </w:tc>
        <w:tc>
          <w:tcPr>
            <w:tcW w:w="1279" w:type="dxa"/>
            <w:vAlign w:val="bottom"/>
          </w:tcPr>
          <w:p w14:paraId="0C48295D" w14:textId="77777777" w:rsidR="00AC6119" w:rsidRPr="00FC6DDA" w:rsidRDefault="00AC6119" w:rsidP="00C33ABB">
            <w:pPr>
              <w:jc w:val="center"/>
            </w:pPr>
            <w:r w:rsidRPr="00FC6DDA">
              <w:rPr>
                <w:lang w:val="kk-KZ"/>
              </w:rPr>
              <w:t>6 899 400</w:t>
            </w:r>
          </w:p>
        </w:tc>
      </w:tr>
      <w:tr w:rsidR="00AC6119" w:rsidRPr="00FC6DDA" w14:paraId="05C19EAD" w14:textId="77777777" w:rsidTr="00C33ABB">
        <w:tc>
          <w:tcPr>
            <w:tcW w:w="3235" w:type="dxa"/>
          </w:tcPr>
          <w:p w14:paraId="6A36A042" w14:textId="44E8AAE5" w:rsidR="00AC6119" w:rsidRPr="00FC6DDA" w:rsidRDefault="00720536" w:rsidP="00C33ABB">
            <w:pPr>
              <w:jc w:val="center"/>
              <w:rPr>
                <w:lang w:val="en-US"/>
              </w:rPr>
            </w:pPr>
            <w:r w:rsidRPr="00FC6DDA">
              <w:rPr>
                <w:lang w:val="en-US"/>
              </w:rPr>
              <w:t>Total</w:t>
            </w:r>
          </w:p>
        </w:tc>
        <w:tc>
          <w:tcPr>
            <w:tcW w:w="1278" w:type="dxa"/>
            <w:vAlign w:val="bottom"/>
          </w:tcPr>
          <w:p w14:paraId="4CAEFF4F" w14:textId="77777777" w:rsidR="00AC6119" w:rsidRPr="00FC6DDA" w:rsidRDefault="00AC6119" w:rsidP="00C33ABB">
            <w:pPr>
              <w:jc w:val="center"/>
            </w:pPr>
            <w:r w:rsidRPr="00FC6DDA">
              <w:t>9 592 200</w:t>
            </w:r>
          </w:p>
        </w:tc>
        <w:tc>
          <w:tcPr>
            <w:tcW w:w="1279" w:type="dxa"/>
            <w:vAlign w:val="bottom"/>
          </w:tcPr>
          <w:p w14:paraId="708552C9" w14:textId="77777777" w:rsidR="00AC6119" w:rsidRPr="00FC6DDA" w:rsidRDefault="00AC6119" w:rsidP="00C33ABB">
            <w:pPr>
              <w:jc w:val="center"/>
            </w:pPr>
            <w:r w:rsidRPr="00FC6DDA">
              <w:t>8 668 100</w:t>
            </w:r>
          </w:p>
        </w:tc>
        <w:tc>
          <w:tcPr>
            <w:tcW w:w="1278" w:type="dxa"/>
            <w:vAlign w:val="bottom"/>
          </w:tcPr>
          <w:p w14:paraId="45C5E819" w14:textId="77777777" w:rsidR="00AC6119" w:rsidRPr="00FC6DDA" w:rsidRDefault="00AC6119" w:rsidP="00C33ABB">
            <w:pPr>
              <w:jc w:val="center"/>
            </w:pPr>
            <w:r w:rsidRPr="00FC6DDA">
              <w:t>9 886 100</w:t>
            </w:r>
          </w:p>
        </w:tc>
        <w:tc>
          <w:tcPr>
            <w:tcW w:w="1279" w:type="dxa"/>
            <w:vAlign w:val="bottom"/>
          </w:tcPr>
          <w:p w14:paraId="5465E351" w14:textId="77777777" w:rsidR="00AC6119" w:rsidRPr="00FC6DDA" w:rsidRDefault="00AC6119" w:rsidP="00C33ABB">
            <w:pPr>
              <w:jc w:val="center"/>
            </w:pPr>
            <w:r w:rsidRPr="00FC6DDA">
              <w:t>7</w:t>
            </w:r>
            <w:r w:rsidRPr="00FC6DDA">
              <w:rPr>
                <w:lang w:val="kk-KZ"/>
              </w:rPr>
              <w:t> </w:t>
            </w:r>
            <w:r w:rsidRPr="00FC6DDA">
              <w:t>989 000</w:t>
            </w:r>
          </w:p>
        </w:tc>
        <w:tc>
          <w:tcPr>
            <w:tcW w:w="1279" w:type="dxa"/>
            <w:vAlign w:val="bottom"/>
          </w:tcPr>
          <w:p w14:paraId="63CE8B44" w14:textId="77777777" w:rsidR="00AC6119" w:rsidRPr="00FC6DDA" w:rsidRDefault="00AC6119" w:rsidP="00C33ABB">
            <w:pPr>
              <w:jc w:val="center"/>
            </w:pPr>
            <w:r w:rsidRPr="00FC6DDA">
              <w:t>8 544 400</w:t>
            </w:r>
          </w:p>
        </w:tc>
      </w:tr>
    </w:tbl>
    <w:p w14:paraId="4CD962A7" w14:textId="1535751D" w:rsidR="00AC6119" w:rsidRPr="00FC6DDA" w:rsidRDefault="00BA5D6A" w:rsidP="00AC6119">
      <w:pPr>
        <w:rPr>
          <w:sz w:val="20"/>
          <w:szCs w:val="20"/>
          <w:lang w:val="en-US"/>
        </w:rPr>
      </w:pPr>
      <w:r w:rsidRPr="00FC6DDA">
        <w:rPr>
          <w:sz w:val="20"/>
          <w:szCs w:val="20"/>
          <w:lang w:val="en-US"/>
        </w:rPr>
        <w:t xml:space="preserve">Note – In </w:t>
      </w:r>
      <w:r w:rsidR="00720536" w:rsidRPr="00FC6DDA">
        <w:rPr>
          <w:sz w:val="20"/>
          <w:szCs w:val="20"/>
          <w:lang w:val="en-US"/>
        </w:rPr>
        <w:t>accordance with source</w:t>
      </w:r>
      <w:r w:rsidR="00AC6119"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AC6119" w:rsidRPr="00FC6DDA">
        <w:rPr>
          <w:sz w:val="20"/>
          <w:szCs w:val="20"/>
          <w:lang w:val="en-US"/>
        </w:rPr>
        <w:t>]</w:t>
      </w:r>
    </w:p>
    <w:p w14:paraId="736BE4F1" w14:textId="765C35DF" w:rsidR="005D33BD" w:rsidRPr="00FC6DDA" w:rsidRDefault="005D33BD" w:rsidP="00AC6119">
      <w:pPr>
        <w:widowControl w:val="0"/>
        <w:jc w:val="both"/>
        <w:rPr>
          <w:b/>
          <w:bCs/>
          <w:lang w:val="en-US"/>
        </w:rPr>
      </w:pPr>
    </w:p>
    <w:p w14:paraId="785686ED" w14:textId="77777777" w:rsidR="00720536" w:rsidRPr="00FC6DDA" w:rsidRDefault="00720536" w:rsidP="00720536">
      <w:pPr>
        <w:widowControl w:val="0"/>
        <w:ind w:firstLine="567"/>
        <w:jc w:val="both"/>
        <w:rPr>
          <w:lang w:val="en-US"/>
        </w:rPr>
      </w:pPr>
      <w:r w:rsidRPr="00FC6DDA">
        <w:rPr>
          <w:lang w:val="en-US"/>
        </w:rPr>
        <w:t>Tourism as a branch of the economy, primarily engaged in organizing free time, can successfully exist under two conditions:</w:t>
      </w:r>
    </w:p>
    <w:p w14:paraId="2A83305A" w14:textId="77777777" w:rsidR="00720536" w:rsidRPr="00FC6DDA" w:rsidRDefault="00720536" w:rsidP="00720536">
      <w:pPr>
        <w:widowControl w:val="0"/>
        <w:ind w:firstLine="567"/>
        <w:jc w:val="both"/>
        <w:rPr>
          <w:lang w:val="en-US"/>
        </w:rPr>
      </w:pPr>
      <w:r w:rsidRPr="00FC6DDA">
        <w:rPr>
          <w:lang w:val="en-US"/>
        </w:rPr>
        <w:t>- free time of citizens;</w:t>
      </w:r>
    </w:p>
    <w:p w14:paraId="05E2C916" w14:textId="77777777" w:rsidR="00720536" w:rsidRPr="00FC6DDA" w:rsidRDefault="00720536" w:rsidP="00720536">
      <w:pPr>
        <w:widowControl w:val="0"/>
        <w:ind w:firstLine="567"/>
        <w:jc w:val="both"/>
        <w:rPr>
          <w:lang w:val="en-US"/>
        </w:rPr>
      </w:pPr>
      <w:r w:rsidRPr="00FC6DDA">
        <w:rPr>
          <w:lang w:val="en-US"/>
        </w:rPr>
        <w:t>- sufficient material resources, income of individuals.</w:t>
      </w:r>
    </w:p>
    <w:p w14:paraId="6849030B" w14:textId="632C6911" w:rsidR="00720536" w:rsidRPr="00FC6DDA" w:rsidRDefault="00720536" w:rsidP="00720536">
      <w:pPr>
        <w:widowControl w:val="0"/>
        <w:ind w:firstLine="567"/>
        <w:jc w:val="both"/>
        <w:rPr>
          <w:lang w:val="en-US"/>
        </w:rPr>
      </w:pPr>
      <w:r w:rsidRPr="00FC6DDA">
        <w:rPr>
          <w:lang w:val="en-US"/>
        </w:rPr>
        <w:t>Thus, the necessary prerequisites for the emergence of massive demand for tourism and maintaining it at a high level are an increase in free time and an increase in the well-being of society, citizens of Pavlodar region and the Republic of Kazakhstan as a whole. The need for rest belongs to the upper level of the pyramid of human needs [1</w:t>
      </w:r>
      <w:r w:rsidR="00E070BA" w:rsidRPr="00FC6DDA">
        <w:rPr>
          <w:lang w:val="en-US"/>
        </w:rPr>
        <w:t>9</w:t>
      </w:r>
      <w:r w:rsidRPr="00FC6DDA">
        <w:rPr>
          <w:lang w:val="en-US"/>
        </w:rPr>
        <w:t>].</w:t>
      </w:r>
    </w:p>
    <w:p w14:paraId="39D8B537" w14:textId="44A915D1" w:rsidR="00AC6119" w:rsidRPr="00FC6DDA" w:rsidRDefault="00720536" w:rsidP="00720536">
      <w:pPr>
        <w:widowControl w:val="0"/>
        <w:ind w:firstLine="567"/>
        <w:jc w:val="both"/>
        <w:rPr>
          <w:lang w:val="en-US"/>
        </w:rPr>
      </w:pPr>
      <w:r w:rsidRPr="00FC6DDA">
        <w:rPr>
          <w:lang w:val="en-US"/>
        </w:rPr>
        <w:t>In view of the above, it should be assumed that as real services directly related to tourism, services should be considered for which demand is from individuals. The latter allows a comparable assessment of the nominal and real contribution of the tourism industry to the development of the economy of the Pavlodar region (</w:t>
      </w:r>
      <w:r w:rsidR="00BA5D6A" w:rsidRPr="00FC6DDA">
        <w:rPr>
          <w:lang w:val="en-US"/>
        </w:rPr>
        <w:t>T</w:t>
      </w:r>
      <w:r w:rsidRPr="00FC6DDA">
        <w:rPr>
          <w:lang w:val="en-US"/>
        </w:rPr>
        <w:t xml:space="preserve">able 5, </w:t>
      </w:r>
      <w:r w:rsidR="00BA5D6A" w:rsidRPr="00FC6DDA">
        <w:rPr>
          <w:lang w:val="en-US"/>
        </w:rPr>
        <w:t>F</w:t>
      </w:r>
      <w:r w:rsidRPr="00FC6DDA">
        <w:rPr>
          <w:lang w:val="en-US"/>
        </w:rPr>
        <w:t>igure 5)</w:t>
      </w:r>
      <w:r w:rsidR="00AC6119" w:rsidRPr="00FC6DDA">
        <w:rPr>
          <w:lang w:val="en-US"/>
        </w:rPr>
        <w:t>.</w:t>
      </w:r>
    </w:p>
    <w:p w14:paraId="62297A9D" w14:textId="77777777" w:rsidR="00EE4EA2" w:rsidRPr="00FC6DDA" w:rsidRDefault="00EE4EA2" w:rsidP="00720536">
      <w:pPr>
        <w:widowControl w:val="0"/>
        <w:ind w:firstLine="567"/>
        <w:jc w:val="both"/>
        <w:rPr>
          <w:lang w:val="en-US"/>
        </w:rPr>
      </w:pPr>
    </w:p>
    <w:p w14:paraId="5CAC6DF9" w14:textId="15DEF1D4" w:rsidR="00C33ABB" w:rsidRPr="00FC6DDA" w:rsidRDefault="00720536" w:rsidP="00C33ABB">
      <w:pPr>
        <w:jc w:val="both"/>
        <w:rPr>
          <w:lang w:val="en-US"/>
        </w:rPr>
      </w:pPr>
      <w:r w:rsidRPr="00FC6DDA">
        <w:rPr>
          <w:lang w:val="en-US"/>
        </w:rPr>
        <w:t>Table</w:t>
      </w:r>
      <w:r w:rsidR="00C33ABB" w:rsidRPr="00FC6DDA">
        <w:rPr>
          <w:lang w:val="en-US"/>
        </w:rPr>
        <w:t xml:space="preserve"> 5 – </w:t>
      </w:r>
      <w:r w:rsidRPr="00FC6DDA">
        <w:rPr>
          <w:lang w:val="en-US"/>
        </w:rPr>
        <w:t>Dynamics of the assessment of the nominal and real contribution of the tourism industry to GRP</w:t>
      </w:r>
    </w:p>
    <w:tbl>
      <w:tblPr>
        <w:tblStyle w:val="TableGrid"/>
        <w:tblW w:w="0" w:type="auto"/>
        <w:tblLook w:val="04A0" w:firstRow="1" w:lastRow="0" w:firstColumn="1" w:lastColumn="0" w:noHBand="0" w:noVBand="1"/>
      </w:tblPr>
      <w:tblGrid>
        <w:gridCol w:w="4855"/>
        <w:gridCol w:w="954"/>
        <w:gridCol w:w="955"/>
        <w:gridCol w:w="954"/>
        <w:gridCol w:w="955"/>
        <w:gridCol w:w="955"/>
      </w:tblGrid>
      <w:tr w:rsidR="00C33ABB" w:rsidRPr="00FC6DDA" w14:paraId="1DA5FE61" w14:textId="77777777" w:rsidTr="00C33ABB">
        <w:tc>
          <w:tcPr>
            <w:tcW w:w="4855" w:type="dxa"/>
            <w:vMerge w:val="restart"/>
          </w:tcPr>
          <w:p w14:paraId="5E03C578" w14:textId="6E317925" w:rsidR="00C33ABB" w:rsidRPr="00FC6DDA" w:rsidRDefault="00720536" w:rsidP="00C33ABB">
            <w:pPr>
              <w:jc w:val="center"/>
              <w:rPr>
                <w:lang w:val="en-US"/>
              </w:rPr>
            </w:pPr>
            <w:r w:rsidRPr="00FC6DDA">
              <w:rPr>
                <w:lang w:val="en-US"/>
              </w:rPr>
              <w:t>Index</w:t>
            </w:r>
          </w:p>
        </w:tc>
        <w:tc>
          <w:tcPr>
            <w:tcW w:w="4773" w:type="dxa"/>
            <w:gridSpan w:val="5"/>
          </w:tcPr>
          <w:p w14:paraId="51BB6888" w14:textId="16815EF4" w:rsidR="00C33ABB" w:rsidRPr="00FC6DDA" w:rsidRDefault="00EE4EA2" w:rsidP="00C33ABB">
            <w:pPr>
              <w:jc w:val="center"/>
              <w:rPr>
                <w:lang w:val="en-US"/>
              </w:rPr>
            </w:pPr>
            <w:r w:rsidRPr="00FC6DDA">
              <w:rPr>
                <w:lang w:val="en-US"/>
              </w:rPr>
              <w:t>Year</w:t>
            </w:r>
          </w:p>
        </w:tc>
      </w:tr>
      <w:tr w:rsidR="00C33ABB" w:rsidRPr="00FC6DDA" w14:paraId="2B13FA93" w14:textId="77777777" w:rsidTr="00C33ABB">
        <w:tc>
          <w:tcPr>
            <w:tcW w:w="4855" w:type="dxa"/>
            <w:vMerge/>
          </w:tcPr>
          <w:p w14:paraId="041C81F8" w14:textId="77777777" w:rsidR="00C33ABB" w:rsidRPr="00FC6DDA" w:rsidRDefault="00C33ABB" w:rsidP="00C33ABB">
            <w:pPr>
              <w:jc w:val="center"/>
            </w:pPr>
          </w:p>
        </w:tc>
        <w:tc>
          <w:tcPr>
            <w:tcW w:w="954" w:type="dxa"/>
          </w:tcPr>
          <w:p w14:paraId="54B2B972" w14:textId="77777777" w:rsidR="00C33ABB" w:rsidRPr="00FC6DDA" w:rsidRDefault="00C33ABB" w:rsidP="00C33ABB">
            <w:pPr>
              <w:jc w:val="center"/>
            </w:pPr>
            <w:r w:rsidRPr="00FC6DDA">
              <w:t>2015</w:t>
            </w:r>
          </w:p>
        </w:tc>
        <w:tc>
          <w:tcPr>
            <w:tcW w:w="955" w:type="dxa"/>
          </w:tcPr>
          <w:p w14:paraId="678126A6" w14:textId="77777777" w:rsidR="00C33ABB" w:rsidRPr="00FC6DDA" w:rsidRDefault="00C33ABB" w:rsidP="00C33ABB">
            <w:pPr>
              <w:jc w:val="center"/>
            </w:pPr>
            <w:r w:rsidRPr="00FC6DDA">
              <w:t>2016</w:t>
            </w:r>
          </w:p>
        </w:tc>
        <w:tc>
          <w:tcPr>
            <w:tcW w:w="954" w:type="dxa"/>
          </w:tcPr>
          <w:p w14:paraId="60B49F25" w14:textId="77777777" w:rsidR="00C33ABB" w:rsidRPr="00FC6DDA" w:rsidRDefault="00C33ABB" w:rsidP="00C33ABB">
            <w:pPr>
              <w:jc w:val="center"/>
            </w:pPr>
            <w:r w:rsidRPr="00FC6DDA">
              <w:t>2017</w:t>
            </w:r>
          </w:p>
        </w:tc>
        <w:tc>
          <w:tcPr>
            <w:tcW w:w="955" w:type="dxa"/>
          </w:tcPr>
          <w:p w14:paraId="0C4A3D6A" w14:textId="77777777" w:rsidR="00C33ABB" w:rsidRPr="00FC6DDA" w:rsidRDefault="00C33ABB" w:rsidP="00C33ABB">
            <w:pPr>
              <w:jc w:val="center"/>
            </w:pPr>
            <w:r w:rsidRPr="00FC6DDA">
              <w:t>2018</w:t>
            </w:r>
          </w:p>
        </w:tc>
        <w:tc>
          <w:tcPr>
            <w:tcW w:w="955" w:type="dxa"/>
          </w:tcPr>
          <w:p w14:paraId="1722BF5C" w14:textId="77777777" w:rsidR="00C33ABB" w:rsidRPr="00FC6DDA" w:rsidRDefault="00C33ABB" w:rsidP="00C33ABB">
            <w:pPr>
              <w:jc w:val="center"/>
            </w:pPr>
            <w:r w:rsidRPr="00FC6DDA">
              <w:t>2019</w:t>
            </w:r>
          </w:p>
        </w:tc>
      </w:tr>
      <w:tr w:rsidR="00C33ABB" w:rsidRPr="00FC6DDA" w14:paraId="2F7614E7" w14:textId="77777777" w:rsidTr="00C33ABB">
        <w:tc>
          <w:tcPr>
            <w:tcW w:w="4855" w:type="dxa"/>
          </w:tcPr>
          <w:p w14:paraId="38809E30" w14:textId="5CE3082B" w:rsidR="00C33ABB" w:rsidRPr="00FC6DDA" w:rsidRDefault="00720536" w:rsidP="00C33ABB">
            <w:pPr>
              <w:jc w:val="both"/>
              <w:rPr>
                <w:lang w:val="en-US"/>
              </w:rPr>
            </w:pPr>
            <w:r w:rsidRPr="00FC6DDA">
              <w:rPr>
                <w:lang w:val="en-US"/>
              </w:rPr>
              <w:t>Gross regional product of Pavlodar region,</w:t>
            </w:r>
            <w:r w:rsidR="00862590" w:rsidRPr="00FC6DDA">
              <w:rPr>
                <w:lang w:val="en-US"/>
              </w:rPr>
              <w:t xml:space="preserve"> a</w:t>
            </w:r>
            <w:r w:rsidRPr="00FC6DDA">
              <w:rPr>
                <w:lang w:val="en-US"/>
              </w:rPr>
              <w:t xml:space="preserve"> billion tenge</w:t>
            </w:r>
          </w:p>
        </w:tc>
        <w:tc>
          <w:tcPr>
            <w:tcW w:w="954" w:type="dxa"/>
            <w:vAlign w:val="bottom"/>
          </w:tcPr>
          <w:p w14:paraId="39416789" w14:textId="77777777" w:rsidR="00C33ABB" w:rsidRPr="00FC6DDA" w:rsidRDefault="00C33ABB" w:rsidP="00C33ABB">
            <w:pPr>
              <w:pStyle w:val="a"/>
              <w:spacing w:line="228" w:lineRule="auto"/>
              <w:jc w:val="center"/>
              <w:rPr>
                <w:rFonts w:ascii="Times New Roman" w:eastAsia="Arial Unicode MS" w:hAnsi="Times New Roman"/>
                <w:sz w:val="20"/>
              </w:rPr>
            </w:pPr>
            <w:r w:rsidRPr="00FC6DDA">
              <w:rPr>
                <w:rFonts w:ascii="Times New Roman" w:eastAsia="Arial Unicode MS" w:hAnsi="Times New Roman"/>
                <w:sz w:val="20"/>
              </w:rPr>
              <w:t>1 736,2</w:t>
            </w:r>
          </w:p>
        </w:tc>
        <w:tc>
          <w:tcPr>
            <w:tcW w:w="955" w:type="dxa"/>
            <w:vAlign w:val="bottom"/>
          </w:tcPr>
          <w:p w14:paraId="1D2DD348" w14:textId="77777777" w:rsidR="00C33ABB" w:rsidRPr="00FC6DDA" w:rsidRDefault="00C33ABB" w:rsidP="00C33ABB">
            <w:pPr>
              <w:ind w:left="-57"/>
              <w:jc w:val="center"/>
              <w:rPr>
                <w:rFonts w:eastAsia="Arial Unicode MS"/>
              </w:rPr>
            </w:pPr>
            <w:r w:rsidRPr="00FC6DDA">
              <w:rPr>
                <w:rFonts w:eastAsia="Arial Unicode MS"/>
              </w:rPr>
              <w:t>1 975,5</w:t>
            </w:r>
          </w:p>
        </w:tc>
        <w:tc>
          <w:tcPr>
            <w:tcW w:w="954" w:type="dxa"/>
            <w:vAlign w:val="bottom"/>
          </w:tcPr>
          <w:p w14:paraId="020F22D6" w14:textId="77777777" w:rsidR="00C33ABB" w:rsidRPr="00FC6DDA" w:rsidRDefault="00C33ABB" w:rsidP="00C33ABB">
            <w:pPr>
              <w:pStyle w:val="a"/>
              <w:spacing w:line="228" w:lineRule="auto"/>
              <w:jc w:val="center"/>
              <w:rPr>
                <w:rFonts w:ascii="Times New Roman" w:eastAsia="Arial Unicode MS" w:hAnsi="Times New Roman"/>
                <w:sz w:val="20"/>
                <w:vertAlign w:val="superscript"/>
              </w:rPr>
            </w:pPr>
            <w:r w:rsidRPr="00FC6DDA">
              <w:rPr>
                <w:rFonts w:ascii="Times New Roman" w:eastAsia="Arial Unicode MS" w:hAnsi="Times New Roman"/>
                <w:sz w:val="20"/>
              </w:rPr>
              <w:t>2 369,3</w:t>
            </w:r>
          </w:p>
        </w:tc>
        <w:tc>
          <w:tcPr>
            <w:tcW w:w="955" w:type="dxa"/>
            <w:vAlign w:val="bottom"/>
          </w:tcPr>
          <w:p w14:paraId="19B82FA1" w14:textId="77777777" w:rsidR="00C33ABB" w:rsidRPr="00FC6DDA" w:rsidRDefault="00C33ABB" w:rsidP="00C33ABB">
            <w:pPr>
              <w:jc w:val="center"/>
              <w:rPr>
                <w:rFonts w:eastAsia="Arial Unicode MS"/>
                <w:vertAlign w:val="superscript"/>
              </w:rPr>
            </w:pPr>
            <w:r w:rsidRPr="00FC6DDA">
              <w:rPr>
                <w:rFonts w:eastAsia="Arial Unicode MS"/>
              </w:rPr>
              <w:t>2 746,7</w:t>
            </w:r>
          </w:p>
        </w:tc>
        <w:tc>
          <w:tcPr>
            <w:tcW w:w="955" w:type="dxa"/>
            <w:vAlign w:val="bottom"/>
          </w:tcPr>
          <w:p w14:paraId="4A07FCB2" w14:textId="77777777" w:rsidR="00C33ABB" w:rsidRPr="00FC6DDA" w:rsidRDefault="00C33ABB" w:rsidP="00C33ABB">
            <w:pPr>
              <w:jc w:val="center"/>
              <w:rPr>
                <w:bCs/>
                <w:snapToGrid w:val="0"/>
                <w:vertAlign w:val="superscript"/>
              </w:rPr>
            </w:pPr>
            <w:r w:rsidRPr="00FC6DDA">
              <w:rPr>
                <w:bCs/>
                <w:snapToGrid w:val="0"/>
              </w:rPr>
              <w:t>2 805,9</w:t>
            </w:r>
          </w:p>
        </w:tc>
      </w:tr>
      <w:tr w:rsidR="00C33ABB" w:rsidRPr="00FC6DDA" w14:paraId="79CB1E86" w14:textId="77777777" w:rsidTr="00C33ABB">
        <w:tc>
          <w:tcPr>
            <w:tcW w:w="4855" w:type="dxa"/>
          </w:tcPr>
          <w:p w14:paraId="600CAC65" w14:textId="0CBD4D9D" w:rsidR="00C33ABB" w:rsidRPr="00FC6DDA" w:rsidRDefault="00720536" w:rsidP="00C33ABB">
            <w:pPr>
              <w:jc w:val="both"/>
              <w:rPr>
                <w:lang w:val="en-US"/>
              </w:rPr>
            </w:pPr>
            <w:r w:rsidRPr="00FC6DDA">
              <w:rPr>
                <w:lang w:val="en-US"/>
              </w:rPr>
              <w:t xml:space="preserve">Nominal tourism services (full range of services directly and indirectly related to tourism), </w:t>
            </w:r>
            <w:r w:rsidR="00862590" w:rsidRPr="00FC6DDA">
              <w:rPr>
                <w:lang w:val="en-US"/>
              </w:rPr>
              <w:t xml:space="preserve">a </w:t>
            </w:r>
            <w:r w:rsidRPr="00FC6DDA">
              <w:rPr>
                <w:lang w:val="en-US"/>
              </w:rPr>
              <w:t>billion tenge</w:t>
            </w:r>
          </w:p>
        </w:tc>
        <w:tc>
          <w:tcPr>
            <w:tcW w:w="954" w:type="dxa"/>
            <w:vAlign w:val="bottom"/>
          </w:tcPr>
          <w:p w14:paraId="613E8DA9" w14:textId="77777777" w:rsidR="00C33ABB" w:rsidRPr="00FC6DDA" w:rsidRDefault="00C33ABB" w:rsidP="00C33ABB">
            <w:pPr>
              <w:jc w:val="center"/>
            </w:pPr>
            <w:r w:rsidRPr="00FC6DDA">
              <w:t>9,6</w:t>
            </w:r>
          </w:p>
        </w:tc>
        <w:tc>
          <w:tcPr>
            <w:tcW w:w="955" w:type="dxa"/>
            <w:vAlign w:val="bottom"/>
          </w:tcPr>
          <w:p w14:paraId="37CD669C" w14:textId="77777777" w:rsidR="00C33ABB" w:rsidRPr="00FC6DDA" w:rsidRDefault="00C33ABB" w:rsidP="00C33ABB">
            <w:pPr>
              <w:jc w:val="center"/>
            </w:pPr>
            <w:r w:rsidRPr="00FC6DDA">
              <w:t>8,7</w:t>
            </w:r>
          </w:p>
        </w:tc>
        <w:tc>
          <w:tcPr>
            <w:tcW w:w="954" w:type="dxa"/>
            <w:vAlign w:val="bottom"/>
          </w:tcPr>
          <w:p w14:paraId="5DE63CD2" w14:textId="77777777" w:rsidR="00C33ABB" w:rsidRPr="00FC6DDA" w:rsidRDefault="00C33ABB" w:rsidP="00C33ABB">
            <w:pPr>
              <w:jc w:val="center"/>
            </w:pPr>
            <w:r w:rsidRPr="00FC6DDA">
              <w:t>9,9</w:t>
            </w:r>
          </w:p>
        </w:tc>
        <w:tc>
          <w:tcPr>
            <w:tcW w:w="955" w:type="dxa"/>
            <w:vAlign w:val="bottom"/>
          </w:tcPr>
          <w:p w14:paraId="64B82F6F" w14:textId="77777777" w:rsidR="00C33ABB" w:rsidRPr="00FC6DDA" w:rsidRDefault="00C33ABB" w:rsidP="00C33ABB">
            <w:pPr>
              <w:jc w:val="center"/>
            </w:pPr>
            <w:r w:rsidRPr="00FC6DDA">
              <w:t>7,9</w:t>
            </w:r>
          </w:p>
        </w:tc>
        <w:tc>
          <w:tcPr>
            <w:tcW w:w="955" w:type="dxa"/>
            <w:vAlign w:val="bottom"/>
          </w:tcPr>
          <w:p w14:paraId="0900ABCA" w14:textId="77777777" w:rsidR="00C33ABB" w:rsidRPr="00FC6DDA" w:rsidRDefault="00C33ABB" w:rsidP="00C33ABB">
            <w:pPr>
              <w:jc w:val="center"/>
            </w:pPr>
            <w:r w:rsidRPr="00FC6DDA">
              <w:t>8,5</w:t>
            </w:r>
          </w:p>
        </w:tc>
      </w:tr>
      <w:tr w:rsidR="00C33ABB" w:rsidRPr="00FC6DDA" w14:paraId="5D9D0EF8" w14:textId="77777777" w:rsidTr="00C33ABB">
        <w:tc>
          <w:tcPr>
            <w:tcW w:w="4855" w:type="dxa"/>
          </w:tcPr>
          <w:p w14:paraId="568684F3" w14:textId="55573A67" w:rsidR="00C33ABB" w:rsidRPr="00FC6DDA" w:rsidRDefault="00720536" w:rsidP="00C33ABB">
            <w:pPr>
              <w:jc w:val="both"/>
              <w:rPr>
                <w:lang w:val="en-US"/>
              </w:rPr>
            </w:pPr>
            <w:r w:rsidRPr="00FC6DDA">
              <w:rPr>
                <w:lang w:val="en-US"/>
              </w:rPr>
              <w:t xml:space="preserve">Real tourist services (services directly related to tourist activities), </w:t>
            </w:r>
            <w:r w:rsidR="00862590" w:rsidRPr="00FC6DDA">
              <w:rPr>
                <w:lang w:val="en-US"/>
              </w:rPr>
              <w:t xml:space="preserve">a </w:t>
            </w:r>
            <w:r w:rsidRPr="00FC6DDA">
              <w:rPr>
                <w:lang w:val="en-US"/>
              </w:rPr>
              <w:t>billion tenge</w:t>
            </w:r>
          </w:p>
        </w:tc>
        <w:tc>
          <w:tcPr>
            <w:tcW w:w="954" w:type="dxa"/>
            <w:vAlign w:val="bottom"/>
          </w:tcPr>
          <w:p w14:paraId="01A754D2" w14:textId="77777777" w:rsidR="00C33ABB" w:rsidRPr="00FC6DDA" w:rsidRDefault="00C33ABB" w:rsidP="00C33ABB">
            <w:pPr>
              <w:jc w:val="center"/>
            </w:pPr>
            <w:r w:rsidRPr="00FC6DDA">
              <w:t>3,04</w:t>
            </w:r>
          </w:p>
        </w:tc>
        <w:tc>
          <w:tcPr>
            <w:tcW w:w="955" w:type="dxa"/>
            <w:vAlign w:val="bottom"/>
          </w:tcPr>
          <w:p w14:paraId="0B6DA56E" w14:textId="77777777" w:rsidR="00C33ABB" w:rsidRPr="00FC6DDA" w:rsidRDefault="00C33ABB" w:rsidP="00C33ABB">
            <w:pPr>
              <w:jc w:val="center"/>
            </w:pPr>
            <w:r w:rsidRPr="00FC6DDA">
              <w:t>1,7</w:t>
            </w:r>
          </w:p>
        </w:tc>
        <w:tc>
          <w:tcPr>
            <w:tcW w:w="954" w:type="dxa"/>
            <w:vAlign w:val="bottom"/>
          </w:tcPr>
          <w:p w14:paraId="087015BA" w14:textId="77777777" w:rsidR="00C33ABB" w:rsidRPr="00FC6DDA" w:rsidRDefault="00C33ABB" w:rsidP="00C33ABB">
            <w:pPr>
              <w:jc w:val="center"/>
            </w:pPr>
            <w:r w:rsidRPr="00FC6DDA">
              <w:t>2,02</w:t>
            </w:r>
          </w:p>
        </w:tc>
        <w:tc>
          <w:tcPr>
            <w:tcW w:w="955" w:type="dxa"/>
            <w:vAlign w:val="bottom"/>
          </w:tcPr>
          <w:p w14:paraId="4EFE385B" w14:textId="77777777" w:rsidR="00C33ABB" w:rsidRPr="00FC6DDA" w:rsidRDefault="00C33ABB" w:rsidP="00C33ABB">
            <w:pPr>
              <w:ind w:left="57"/>
              <w:jc w:val="center"/>
              <w:rPr>
                <w:rFonts w:eastAsia="Arial Unicode MS"/>
              </w:rPr>
            </w:pPr>
            <w:r w:rsidRPr="00FC6DDA">
              <w:rPr>
                <w:rFonts w:eastAsia="Arial Unicode MS"/>
              </w:rPr>
              <w:t>1,84</w:t>
            </w:r>
          </w:p>
        </w:tc>
        <w:tc>
          <w:tcPr>
            <w:tcW w:w="955" w:type="dxa"/>
            <w:vAlign w:val="bottom"/>
          </w:tcPr>
          <w:p w14:paraId="09C4CA99" w14:textId="77777777" w:rsidR="00C33ABB" w:rsidRPr="00FC6DDA" w:rsidRDefault="00C33ABB" w:rsidP="00C33ABB">
            <w:pPr>
              <w:jc w:val="center"/>
            </w:pPr>
            <w:r w:rsidRPr="00FC6DDA">
              <w:rPr>
                <w:rFonts w:eastAsia="Arial Unicode MS"/>
                <w:lang w:val="kk-KZ"/>
              </w:rPr>
              <w:t>1,64</w:t>
            </w:r>
          </w:p>
        </w:tc>
      </w:tr>
      <w:tr w:rsidR="00C33ABB" w:rsidRPr="00FC6DDA" w14:paraId="08FF756A" w14:textId="77777777" w:rsidTr="00C33ABB">
        <w:tc>
          <w:tcPr>
            <w:tcW w:w="4855" w:type="dxa"/>
          </w:tcPr>
          <w:p w14:paraId="6D54338E" w14:textId="62D22454" w:rsidR="00C33ABB" w:rsidRPr="00FC6DDA" w:rsidRDefault="00720536" w:rsidP="00C33ABB">
            <w:pPr>
              <w:jc w:val="both"/>
              <w:rPr>
                <w:lang w:val="en-US"/>
              </w:rPr>
            </w:pPr>
            <w:r w:rsidRPr="00FC6DDA">
              <w:rPr>
                <w:lang w:val="en-US"/>
              </w:rPr>
              <w:t xml:space="preserve">Nominal contribution of the tourism industry to </w:t>
            </w:r>
            <w:r w:rsidR="00BA5D6A" w:rsidRPr="00FC6DDA">
              <w:rPr>
                <w:lang w:val="en-US"/>
              </w:rPr>
              <w:t>GRP, %</w:t>
            </w:r>
          </w:p>
        </w:tc>
        <w:tc>
          <w:tcPr>
            <w:tcW w:w="954" w:type="dxa"/>
            <w:vAlign w:val="bottom"/>
          </w:tcPr>
          <w:p w14:paraId="524ACB44" w14:textId="77777777" w:rsidR="00C33ABB" w:rsidRPr="00FC6DDA" w:rsidRDefault="00C33ABB" w:rsidP="00C33ABB">
            <w:pPr>
              <w:jc w:val="center"/>
            </w:pPr>
            <w:r w:rsidRPr="00FC6DDA">
              <w:t>0,55</w:t>
            </w:r>
          </w:p>
        </w:tc>
        <w:tc>
          <w:tcPr>
            <w:tcW w:w="955" w:type="dxa"/>
            <w:vAlign w:val="bottom"/>
          </w:tcPr>
          <w:p w14:paraId="1A64D323" w14:textId="77777777" w:rsidR="00C33ABB" w:rsidRPr="00FC6DDA" w:rsidRDefault="00C33ABB" w:rsidP="00C33ABB">
            <w:pPr>
              <w:jc w:val="center"/>
            </w:pPr>
            <w:r w:rsidRPr="00FC6DDA">
              <w:t>0,44</w:t>
            </w:r>
          </w:p>
        </w:tc>
        <w:tc>
          <w:tcPr>
            <w:tcW w:w="954" w:type="dxa"/>
            <w:vAlign w:val="bottom"/>
          </w:tcPr>
          <w:p w14:paraId="29049A9E" w14:textId="77777777" w:rsidR="00C33ABB" w:rsidRPr="00FC6DDA" w:rsidRDefault="00C33ABB" w:rsidP="00C33ABB">
            <w:pPr>
              <w:jc w:val="center"/>
            </w:pPr>
            <w:r w:rsidRPr="00FC6DDA">
              <w:t>0,42</w:t>
            </w:r>
          </w:p>
        </w:tc>
        <w:tc>
          <w:tcPr>
            <w:tcW w:w="955" w:type="dxa"/>
            <w:vAlign w:val="bottom"/>
          </w:tcPr>
          <w:p w14:paraId="30AC5C04" w14:textId="77777777" w:rsidR="00C33ABB" w:rsidRPr="00FC6DDA" w:rsidRDefault="00C33ABB" w:rsidP="00C33ABB">
            <w:pPr>
              <w:jc w:val="center"/>
            </w:pPr>
            <w:r w:rsidRPr="00FC6DDA">
              <w:t>0,29</w:t>
            </w:r>
          </w:p>
        </w:tc>
        <w:tc>
          <w:tcPr>
            <w:tcW w:w="955" w:type="dxa"/>
            <w:vAlign w:val="bottom"/>
          </w:tcPr>
          <w:p w14:paraId="5F52DD44" w14:textId="77777777" w:rsidR="00C33ABB" w:rsidRPr="00FC6DDA" w:rsidRDefault="00C33ABB" w:rsidP="00C33ABB">
            <w:pPr>
              <w:jc w:val="center"/>
            </w:pPr>
            <w:r w:rsidRPr="00FC6DDA">
              <w:t>0,30</w:t>
            </w:r>
          </w:p>
        </w:tc>
      </w:tr>
      <w:tr w:rsidR="00C33ABB" w:rsidRPr="00FC6DDA" w14:paraId="71D73E0C" w14:textId="77777777" w:rsidTr="00C33ABB">
        <w:tc>
          <w:tcPr>
            <w:tcW w:w="4855" w:type="dxa"/>
          </w:tcPr>
          <w:p w14:paraId="4B4812B6" w14:textId="20293FB9" w:rsidR="00C33ABB" w:rsidRPr="00FC6DDA" w:rsidRDefault="00720536" w:rsidP="00C33ABB">
            <w:pPr>
              <w:jc w:val="both"/>
              <w:rPr>
                <w:lang w:val="en-US"/>
              </w:rPr>
            </w:pPr>
            <w:r w:rsidRPr="00FC6DDA">
              <w:rPr>
                <w:lang w:val="en-US"/>
              </w:rPr>
              <w:t xml:space="preserve">The real contribution of the tourism industry to </w:t>
            </w:r>
            <w:r w:rsidR="00BA5D6A" w:rsidRPr="00FC6DDA">
              <w:rPr>
                <w:lang w:val="en-US"/>
              </w:rPr>
              <w:t>GRP, %</w:t>
            </w:r>
          </w:p>
        </w:tc>
        <w:tc>
          <w:tcPr>
            <w:tcW w:w="954" w:type="dxa"/>
            <w:vAlign w:val="bottom"/>
          </w:tcPr>
          <w:p w14:paraId="2702BA98" w14:textId="77777777" w:rsidR="00C33ABB" w:rsidRPr="00FC6DDA" w:rsidRDefault="00C33ABB" w:rsidP="00C33ABB">
            <w:pPr>
              <w:jc w:val="center"/>
            </w:pPr>
            <w:r w:rsidRPr="00FC6DDA">
              <w:t>0,18</w:t>
            </w:r>
          </w:p>
        </w:tc>
        <w:tc>
          <w:tcPr>
            <w:tcW w:w="955" w:type="dxa"/>
            <w:vAlign w:val="bottom"/>
          </w:tcPr>
          <w:p w14:paraId="2EBD10F7" w14:textId="77777777" w:rsidR="00C33ABB" w:rsidRPr="00FC6DDA" w:rsidRDefault="00C33ABB" w:rsidP="00C33ABB">
            <w:pPr>
              <w:jc w:val="center"/>
            </w:pPr>
            <w:r w:rsidRPr="00FC6DDA">
              <w:t>0,09</w:t>
            </w:r>
          </w:p>
        </w:tc>
        <w:tc>
          <w:tcPr>
            <w:tcW w:w="954" w:type="dxa"/>
            <w:vAlign w:val="bottom"/>
          </w:tcPr>
          <w:p w14:paraId="2640B2F7" w14:textId="77777777" w:rsidR="00C33ABB" w:rsidRPr="00FC6DDA" w:rsidRDefault="00C33ABB" w:rsidP="00C33ABB">
            <w:pPr>
              <w:jc w:val="center"/>
            </w:pPr>
            <w:r w:rsidRPr="00FC6DDA">
              <w:t>0,09</w:t>
            </w:r>
          </w:p>
        </w:tc>
        <w:tc>
          <w:tcPr>
            <w:tcW w:w="955" w:type="dxa"/>
            <w:vAlign w:val="bottom"/>
          </w:tcPr>
          <w:p w14:paraId="1B1E8267" w14:textId="77777777" w:rsidR="00C33ABB" w:rsidRPr="00FC6DDA" w:rsidRDefault="00C33ABB" w:rsidP="00C33ABB">
            <w:pPr>
              <w:jc w:val="center"/>
            </w:pPr>
            <w:r w:rsidRPr="00FC6DDA">
              <w:t>0,07</w:t>
            </w:r>
          </w:p>
        </w:tc>
        <w:tc>
          <w:tcPr>
            <w:tcW w:w="955" w:type="dxa"/>
            <w:vAlign w:val="bottom"/>
          </w:tcPr>
          <w:p w14:paraId="7C7D66A2" w14:textId="77777777" w:rsidR="00C33ABB" w:rsidRPr="00FC6DDA" w:rsidRDefault="00C33ABB" w:rsidP="00C33ABB">
            <w:pPr>
              <w:jc w:val="center"/>
            </w:pPr>
            <w:r w:rsidRPr="00FC6DDA">
              <w:t>0,06</w:t>
            </w:r>
          </w:p>
        </w:tc>
      </w:tr>
    </w:tbl>
    <w:p w14:paraId="19A69243" w14:textId="75445666" w:rsidR="00C33ABB" w:rsidRPr="00FC6DDA" w:rsidRDefault="00BA5D6A" w:rsidP="00C33ABB">
      <w:pPr>
        <w:rPr>
          <w:sz w:val="20"/>
          <w:szCs w:val="20"/>
          <w:lang w:val="en-US"/>
        </w:rPr>
      </w:pPr>
      <w:r w:rsidRPr="00FC6DDA">
        <w:rPr>
          <w:sz w:val="20"/>
          <w:szCs w:val="20"/>
          <w:lang w:val="en-US"/>
        </w:rPr>
        <w:t xml:space="preserve">Note – In </w:t>
      </w:r>
      <w:r w:rsidR="008D4CCA" w:rsidRPr="00FC6DDA">
        <w:rPr>
          <w:sz w:val="20"/>
          <w:szCs w:val="20"/>
          <w:lang w:val="en-US"/>
        </w:rPr>
        <w:t>accordance with sources</w:t>
      </w:r>
      <w:r w:rsidR="00C33ABB" w:rsidRPr="00FC6DDA">
        <w:rPr>
          <w:sz w:val="20"/>
          <w:szCs w:val="20"/>
          <w:lang w:val="en-US"/>
        </w:rPr>
        <w:t xml:space="preserve"> [</w:t>
      </w:r>
      <w:r w:rsidR="00E070BA" w:rsidRPr="00FC6DDA">
        <w:rPr>
          <w:sz w:val="20"/>
          <w:szCs w:val="20"/>
          <w:lang w:val="en-US"/>
        </w:rPr>
        <w:t>12</w:t>
      </w:r>
      <w:r w:rsidR="00C33ABB"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C33ABB" w:rsidRPr="00FC6DDA">
        <w:rPr>
          <w:sz w:val="20"/>
          <w:szCs w:val="20"/>
          <w:lang w:val="en-US"/>
        </w:rPr>
        <w:t>]</w:t>
      </w:r>
    </w:p>
    <w:p w14:paraId="300659A4" w14:textId="77777777" w:rsidR="00C33ABB" w:rsidRPr="00FC6DDA" w:rsidRDefault="00C33ABB" w:rsidP="00C33ABB">
      <w:pPr>
        <w:ind w:firstLine="567"/>
        <w:jc w:val="both"/>
        <w:rPr>
          <w:sz w:val="28"/>
          <w:szCs w:val="28"/>
          <w:lang w:val="en-US"/>
        </w:rPr>
      </w:pPr>
    </w:p>
    <w:p w14:paraId="7EA9B9A6" w14:textId="77777777" w:rsidR="00C33ABB" w:rsidRPr="00FC6DDA" w:rsidRDefault="00C33ABB" w:rsidP="00C33ABB">
      <w:pPr>
        <w:ind w:firstLine="567"/>
        <w:jc w:val="both"/>
        <w:rPr>
          <w:sz w:val="28"/>
          <w:szCs w:val="28"/>
        </w:rPr>
      </w:pPr>
      <w:r w:rsidRPr="00FC6DDA">
        <w:rPr>
          <w:noProof/>
          <w:sz w:val="28"/>
          <w:szCs w:val="28"/>
          <w:lang w:val="en-GB" w:eastAsia="en-GB"/>
        </w:rPr>
        <w:drawing>
          <wp:inline distT="0" distB="0" distL="0" distR="0" wp14:anchorId="5C4DCCC0" wp14:editId="1798052C">
            <wp:extent cx="5486400" cy="2051933"/>
            <wp:effectExtent l="0" t="0" r="0" b="571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784569" w14:textId="04AE36C5" w:rsidR="00C33ABB" w:rsidRPr="00FC6DDA" w:rsidRDefault="00BA5D6A" w:rsidP="00C33ABB">
      <w:pPr>
        <w:ind w:firstLine="540"/>
        <w:rPr>
          <w:sz w:val="20"/>
          <w:szCs w:val="20"/>
          <w:lang w:val="en-US"/>
        </w:rPr>
      </w:pPr>
      <w:r w:rsidRPr="00FC6DDA">
        <w:rPr>
          <w:sz w:val="20"/>
          <w:szCs w:val="20"/>
          <w:lang w:val="en-US"/>
        </w:rPr>
        <w:t xml:space="preserve">Note – In </w:t>
      </w:r>
      <w:r w:rsidR="008D4CCA" w:rsidRPr="00FC6DDA">
        <w:rPr>
          <w:sz w:val="20"/>
          <w:szCs w:val="20"/>
          <w:lang w:val="en-US"/>
        </w:rPr>
        <w:t>accordance with sources</w:t>
      </w:r>
      <w:r w:rsidR="00C33ABB" w:rsidRPr="00FC6DDA">
        <w:rPr>
          <w:sz w:val="20"/>
          <w:szCs w:val="20"/>
          <w:lang w:val="en-US"/>
        </w:rPr>
        <w:t xml:space="preserve"> [</w:t>
      </w:r>
      <w:r w:rsidR="00E070BA" w:rsidRPr="00FC6DDA">
        <w:rPr>
          <w:sz w:val="20"/>
          <w:szCs w:val="20"/>
          <w:lang w:val="en-US"/>
        </w:rPr>
        <w:t>12</w:t>
      </w:r>
      <w:r w:rsidR="00C33ABB"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C33ABB" w:rsidRPr="00FC6DDA">
        <w:rPr>
          <w:sz w:val="20"/>
          <w:szCs w:val="20"/>
          <w:lang w:val="en-US"/>
        </w:rPr>
        <w:t>]</w:t>
      </w:r>
    </w:p>
    <w:p w14:paraId="7924281F" w14:textId="77777777" w:rsidR="00C33ABB" w:rsidRPr="00FC6DDA" w:rsidRDefault="00C33ABB" w:rsidP="00C33ABB">
      <w:pPr>
        <w:ind w:firstLine="567"/>
        <w:jc w:val="both"/>
        <w:rPr>
          <w:lang w:val="en-US"/>
        </w:rPr>
      </w:pPr>
    </w:p>
    <w:p w14:paraId="504403AC" w14:textId="02F29498" w:rsidR="00C33ABB" w:rsidRPr="00FC6DDA" w:rsidRDefault="008D4CCA" w:rsidP="00EE4EA2">
      <w:pPr>
        <w:ind w:firstLine="567"/>
        <w:jc w:val="center"/>
        <w:rPr>
          <w:lang w:val="en-US"/>
        </w:rPr>
      </w:pPr>
      <w:r w:rsidRPr="00FC6DDA">
        <w:rPr>
          <w:lang w:val="en-US"/>
        </w:rPr>
        <w:t>Figure</w:t>
      </w:r>
      <w:r w:rsidR="00C33ABB" w:rsidRPr="00FC6DDA">
        <w:rPr>
          <w:lang w:val="en-US"/>
        </w:rPr>
        <w:t xml:space="preserve"> 5 – </w:t>
      </w:r>
      <w:r w:rsidRPr="00FC6DDA">
        <w:rPr>
          <w:lang w:val="en-US"/>
        </w:rPr>
        <w:t>Comparable assessment of the dynamics of the nominal and real contribution of the tourism industry to the development of the economy of the Pavlodar region</w:t>
      </w:r>
      <w:r w:rsidR="00FC6DDA" w:rsidRPr="00FC6DDA">
        <w:rPr>
          <w:lang w:val="en-US"/>
        </w:rPr>
        <w:t>, %</w:t>
      </w:r>
    </w:p>
    <w:p w14:paraId="4C833EB3" w14:textId="77777777" w:rsidR="00FD499A" w:rsidRPr="00FC6DDA" w:rsidRDefault="00FD499A" w:rsidP="008D4CCA">
      <w:pPr>
        <w:widowControl w:val="0"/>
        <w:suppressAutoHyphens/>
        <w:ind w:firstLine="567"/>
        <w:jc w:val="both"/>
        <w:rPr>
          <w:lang w:val="en-US"/>
        </w:rPr>
      </w:pPr>
    </w:p>
    <w:p w14:paraId="498B01DD" w14:textId="3E0B247A" w:rsidR="008D4CCA" w:rsidRPr="00FC6DDA" w:rsidRDefault="008D4CCA" w:rsidP="008D4CCA">
      <w:pPr>
        <w:widowControl w:val="0"/>
        <w:suppressAutoHyphens/>
        <w:ind w:firstLine="567"/>
        <w:jc w:val="both"/>
        <w:rPr>
          <w:lang w:val="en-US"/>
        </w:rPr>
      </w:pPr>
      <w:r w:rsidRPr="00FC6DDA">
        <w:rPr>
          <w:lang w:val="en-US"/>
        </w:rPr>
        <w:t>In general, at the present stage, the contribution of the tourism industry to the development of the region, both from a nominal and from a real point of view, remains at a very low level.</w:t>
      </w:r>
    </w:p>
    <w:p w14:paraId="74D3612F" w14:textId="77777777" w:rsidR="008D4CCA" w:rsidRPr="00FC6DDA" w:rsidRDefault="008D4CCA" w:rsidP="008D4CCA">
      <w:pPr>
        <w:widowControl w:val="0"/>
        <w:suppressAutoHyphens/>
        <w:ind w:firstLine="567"/>
        <w:jc w:val="both"/>
        <w:rPr>
          <w:lang w:val="en-US"/>
        </w:rPr>
      </w:pPr>
      <w:r w:rsidRPr="00FC6DDA">
        <w:rPr>
          <w:lang w:val="en-US"/>
        </w:rPr>
        <w:t>One of the resulting foundations of the economic results of the functioning of the tourism industry of Pavlodar region are:</w:t>
      </w:r>
    </w:p>
    <w:p w14:paraId="6C444979" w14:textId="77777777" w:rsidR="008D4CCA" w:rsidRPr="00FC6DDA" w:rsidRDefault="008D4CCA" w:rsidP="008D4CCA">
      <w:pPr>
        <w:widowControl w:val="0"/>
        <w:suppressAutoHyphens/>
        <w:ind w:firstLine="567"/>
        <w:jc w:val="both"/>
        <w:rPr>
          <w:lang w:val="en-US"/>
        </w:rPr>
      </w:pPr>
      <w:r w:rsidRPr="00FC6DDA">
        <w:rPr>
          <w:lang w:val="en-US"/>
        </w:rPr>
        <w:t>- employment of the population in the field of tourism;</w:t>
      </w:r>
    </w:p>
    <w:p w14:paraId="12C39B79" w14:textId="77777777" w:rsidR="008D4CCA" w:rsidRPr="00FC6DDA" w:rsidRDefault="008D4CCA" w:rsidP="008D4CCA">
      <w:pPr>
        <w:widowControl w:val="0"/>
        <w:suppressAutoHyphens/>
        <w:ind w:firstLine="567"/>
        <w:jc w:val="both"/>
        <w:rPr>
          <w:lang w:val="en-US"/>
        </w:rPr>
      </w:pPr>
      <w:r w:rsidRPr="00FC6DDA">
        <w:rPr>
          <w:lang w:val="en-US"/>
        </w:rPr>
        <w:lastRenderedPageBreak/>
        <w:t>- Average salary of workers in the tourism sector;</w:t>
      </w:r>
    </w:p>
    <w:p w14:paraId="753035D0" w14:textId="77777777" w:rsidR="008D4CCA" w:rsidRPr="00FC6DDA" w:rsidRDefault="008D4CCA" w:rsidP="008D4CCA">
      <w:pPr>
        <w:widowControl w:val="0"/>
        <w:suppressAutoHyphens/>
        <w:ind w:firstLine="567"/>
        <w:jc w:val="both"/>
        <w:rPr>
          <w:lang w:val="en-US"/>
        </w:rPr>
      </w:pPr>
      <w:r w:rsidRPr="00FC6DDA">
        <w:rPr>
          <w:lang w:val="en-US"/>
        </w:rPr>
        <w:t>- labor productivity in the tourism sector.</w:t>
      </w:r>
    </w:p>
    <w:p w14:paraId="257DDA2D" w14:textId="558D69FE" w:rsidR="00C33ABB" w:rsidRPr="00FC6DDA" w:rsidRDefault="008D4CCA" w:rsidP="008D4CCA">
      <w:pPr>
        <w:widowControl w:val="0"/>
        <w:suppressAutoHyphens/>
        <w:ind w:firstLine="567"/>
        <w:jc w:val="both"/>
        <w:rPr>
          <w:lang w:val="en-US"/>
        </w:rPr>
      </w:pPr>
      <w:r w:rsidRPr="00FC6DDA">
        <w:rPr>
          <w:lang w:val="en-US"/>
        </w:rPr>
        <w:t>The employment of the population in the tourism sector is cyclical (Figure 6)</w:t>
      </w:r>
      <w:r w:rsidR="00C33ABB" w:rsidRPr="00FC6DDA">
        <w:rPr>
          <w:lang w:val="en-US"/>
        </w:rPr>
        <w:t>.</w:t>
      </w:r>
    </w:p>
    <w:p w14:paraId="3BBD6679" w14:textId="77777777" w:rsidR="00C33ABB" w:rsidRPr="00FC6DDA" w:rsidRDefault="00C33ABB" w:rsidP="00C33ABB">
      <w:pPr>
        <w:widowControl w:val="0"/>
        <w:suppressAutoHyphens/>
        <w:ind w:firstLine="567"/>
        <w:jc w:val="both"/>
        <w:rPr>
          <w:sz w:val="28"/>
          <w:szCs w:val="28"/>
          <w:lang w:val="en-US"/>
        </w:rPr>
      </w:pPr>
    </w:p>
    <w:p w14:paraId="6C10F6D6" w14:textId="77777777" w:rsidR="00C33ABB" w:rsidRPr="00FC6DDA" w:rsidRDefault="00C33ABB" w:rsidP="00C33ABB">
      <w:pPr>
        <w:ind w:firstLine="540"/>
        <w:rPr>
          <w:sz w:val="28"/>
          <w:szCs w:val="28"/>
        </w:rPr>
      </w:pPr>
      <w:r w:rsidRPr="00FC6DDA">
        <w:rPr>
          <w:noProof/>
          <w:sz w:val="28"/>
          <w:szCs w:val="28"/>
          <w:lang w:val="en-GB" w:eastAsia="en-GB"/>
        </w:rPr>
        <mc:AlternateContent>
          <mc:Choice Requires="wps">
            <w:drawing>
              <wp:anchor distT="0" distB="0" distL="114300" distR="114300" simplePos="0" relativeHeight="251661312" behindDoc="0" locked="0" layoutInCell="1" allowOverlap="1" wp14:anchorId="130E33C9" wp14:editId="64C6B26A">
                <wp:simplePos x="0" y="0"/>
                <wp:positionH relativeFrom="column">
                  <wp:posOffset>119882</wp:posOffset>
                </wp:positionH>
                <wp:positionV relativeFrom="paragraph">
                  <wp:posOffset>2924</wp:posOffset>
                </wp:positionV>
                <wp:extent cx="907696" cy="233466"/>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907696" cy="233466"/>
                        </a:xfrm>
                        <a:prstGeom prst="rect">
                          <a:avLst/>
                        </a:prstGeom>
                        <a:solidFill>
                          <a:schemeClr val="lt1"/>
                        </a:solidFill>
                        <a:ln w="6350">
                          <a:noFill/>
                        </a:ln>
                      </wps:spPr>
                      <wps:txbx>
                        <w:txbxContent>
                          <w:p w14:paraId="0B28EA9E" w14:textId="4399A889" w:rsidR="000A02BC" w:rsidRPr="001B601D" w:rsidRDefault="000A02BC" w:rsidP="00C33ABB">
                            <w:pPr>
                              <w:jc w:val="center"/>
                              <w:rPr>
                                <w:sz w:val="20"/>
                                <w:szCs w:val="20"/>
                                <w:lang w:val="en-US"/>
                              </w:rPr>
                            </w:pPr>
                            <w:r w:rsidRPr="001B601D">
                              <w:rPr>
                                <w:sz w:val="20"/>
                                <w:szCs w:val="20"/>
                                <w:lang w:val="en-US"/>
                              </w:rPr>
                              <w:t>Population</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33C9" id="Надпись 3" o:spid="_x0000_s1027" type="#_x0000_t202" style="position:absolute;left:0;text-align:left;margin-left:9.45pt;margin-top:.25pt;width:71.4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" fillcolor="white [3201]" stroked="f" strokeweight=".5pt">
                <v:textbox inset=",1mm,,1mm">
                  <w:txbxContent>
                    <w:p w14:paraId="0B28EA9E" w14:textId="4399A889" w:rsidR="000A02BC" w:rsidRPr="001B601D" w:rsidRDefault="000A02BC" w:rsidP="00C33ABB">
                      <w:pPr>
                        <w:jc w:val="center"/>
                        <w:rPr>
                          <w:sz w:val="20"/>
                          <w:szCs w:val="20"/>
                          <w:lang w:val="en-US"/>
                        </w:rPr>
                      </w:pPr>
                      <w:r w:rsidRPr="001B601D">
                        <w:rPr>
                          <w:sz w:val="20"/>
                          <w:szCs w:val="20"/>
                          <w:lang w:val="en-US"/>
                        </w:rPr>
                        <w:t>Population</w:t>
                      </w:r>
                    </w:p>
                  </w:txbxContent>
                </v:textbox>
              </v:shape>
            </w:pict>
          </mc:Fallback>
        </mc:AlternateContent>
      </w:r>
      <w:r w:rsidRPr="00FC6DDA">
        <w:rPr>
          <w:noProof/>
          <w:sz w:val="28"/>
          <w:szCs w:val="28"/>
          <w:lang w:val="en-GB" w:eastAsia="en-GB"/>
        </w:rPr>
        <w:drawing>
          <wp:inline distT="0" distB="0" distL="0" distR="0" wp14:anchorId="55FFF3C7" wp14:editId="27726DDA">
            <wp:extent cx="5486400" cy="2107593"/>
            <wp:effectExtent l="0" t="0" r="0" b="6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BD59384" w14:textId="0C9606D2" w:rsidR="00381096" w:rsidRPr="00FC6DDA" w:rsidRDefault="00BA5D6A" w:rsidP="00381096">
      <w:pPr>
        <w:ind w:firstLine="540"/>
        <w:rPr>
          <w:sz w:val="20"/>
          <w:szCs w:val="20"/>
          <w:lang w:val="en-US"/>
        </w:rPr>
      </w:pPr>
      <w:r w:rsidRPr="00FC6DDA">
        <w:rPr>
          <w:sz w:val="20"/>
          <w:szCs w:val="20"/>
          <w:lang w:val="en-US"/>
        </w:rPr>
        <w:t xml:space="preserve">Note – In </w:t>
      </w:r>
      <w:r w:rsidR="000473D8" w:rsidRPr="00FC6DDA">
        <w:rPr>
          <w:sz w:val="20"/>
          <w:szCs w:val="20"/>
          <w:lang w:val="en-US"/>
        </w:rPr>
        <w:t>accordance with</w:t>
      </w:r>
      <w:r w:rsidR="004A595B" w:rsidRPr="00FC6DDA">
        <w:rPr>
          <w:sz w:val="20"/>
          <w:szCs w:val="20"/>
          <w:lang w:val="en-US"/>
        </w:rPr>
        <w:t xml:space="preserve"> source</w:t>
      </w:r>
      <w:r w:rsidR="00381096" w:rsidRPr="00FC6DDA">
        <w:rPr>
          <w:sz w:val="20"/>
          <w:szCs w:val="20"/>
          <w:lang w:val="en-US"/>
        </w:rPr>
        <w:t xml:space="preserve"> [</w:t>
      </w:r>
      <w:r w:rsidR="00E070BA" w:rsidRPr="00FC6DDA">
        <w:rPr>
          <w:sz w:val="20"/>
          <w:szCs w:val="20"/>
          <w:lang w:val="en-US"/>
        </w:rPr>
        <w:t>20</w:t>
      </w:r>
      <w:r w:rsidR="00381096" w:rsidRPr="00FC6DDA">
        <w:rPr>
          <w:sz w:val="20"/>
          <w:szCs w:val="20"/>
          <w:lang w:val="en-US"/>
        </w:rPr>
        <w:t>]</w:t>
      </w:r>
    </w:p>
    <w:p w14:paraId="37996D80" w14:textId="77777777" w:rsidR="00381096" w:rsidRPr="00FC6DDA" w:rsidRDefault="00381096" w:rsidP="00C33ABB">
      <w:pPr>
        <w:ind w:firstLine="567"/>
        <w:jc w:val="both"/>
        <w:rPr>
          <w:lang w:val="en-US"/>
        </w:rPr>
      </w:pPr>
    </w:p>
    <w:p w14:paraId="61DA6980" w14:textId="59BF180E" w:rsidR="00C33ABB" w:rsidRPr="00FC6DDA" w:rsidRDefault="00694BCC" w:rsidP="00EE4EA2">
      <w:pPr>
        <w:ind w:firstLine="567"/>
        <w:jc w:val="center"/>
        <w:rPr>
          <w:lang w:val="en-US"/>
        </w:rPr>
      </w:pPr>
      <w:r w:rsidRPr="00FC6DDA">
        <w:rPr>
          <w:lang w:val="en-US"/>
        </w:rPr>
        <w:t>Figure</w:t>
      </w:r>
      <w:r w:rsidR="00C33ABB" w:rsidRPr="00FC6DDA">
        <w:rPr>
          <w:lang w:val="en-US"/>
        </w:rPr>
        <w:t xml:space="preserve"> 6 – </w:t>
      </w:r>
      <w:r w:rsidRPr="00FC6DDA">
        <w:rPr>
          <w:lang w:val="en-US"/>
        </w:rPr>
        <w:t>Dynamics of employment in the tourism industry</w:t>
      </w:r>
    </w:p>
    <w:p w14:paraId="66BCD9C6" w14:textId="77777777" w:rsidR="00EE4EA2" w:rsidRPr="00FC6DDA" w:rsidRDefault="00EE4EA2" w:rsidP="00694BCC">
      <w:pPr>
        <w:widowControl w:val="0"/>
        <w:suppressAutoHyphens/>
        <w:ind w:firstLine="567"/>
        <w:jc w:val="both"/>
        <w:rPr>
          <w:lang w:val="en-US"/>
        </w:rPr>
      </w:pPr>
    </w:p>
    <w:p w14:paraId="420F3C9E" w14:textId="043910A6" w:rsidR="00694BCC" w:rsidRPr="00FC6DDA" w:rsidRDefault="00694BCC" w:rsidP="00694BCC">
      <w:pPr>
        <w:widowControl w:val="0"/>
        <w:suppressAutoHyphens/>
        <w:ind w:firstLine="567"/>
        <w:jc w:val="both"/>
        <w:rPr>
          <w:lang w:val="en-US"/>
        </w:rPr>
      </w:pPr>
      <w:r w:rsidRPr="00FC6DDA">
        <w:rPr>
          <w:lang w:val="en-US"/>
        </w:rPr>
        <w:t>The maximum peak of employment in the tourism sector was in 2016-2017. During these periods, 9,200 and 9,100 people were employed in the tourism sector, respectively.</w:t>
      </w:r>
    </w:p>
    <w:p w14:paraId="114B224E" w14:textId="5D953F61" w:rsidR="00381096" w:rsidRPr="00FC6DDA" w:rsidRDefault="00694BCC" w:rsidP="00694BCC">
      <w:pPr>
        <w:widowControl w:val="0"/>
        <w:suppressAutoHyphens/>
        <w:ind w:firstLine="567"/>
        <w:jc w:val="both"/>
        <w:rPr>
          <w:lang w:val="en-US"/>
        </w:rPr>
      </w:pPr>
      <w:r w:rsidRPr="00FC6DDA">
        <w:rPr>
          <w:lang w:val="en-US"/>
        </w:rPr>
        <w:t>In the tourism industry, there was an increase in average wages, which over the past five years increased from 67.2 thousand tenge to 103.2 thousand tenge (Figure 7)</w:t>
      </w:r>
      <w:r w:rsidR="00381096" w:rsidRPr="00FC6DDA">
        <w:rPr>
          <w:lang w:val="en-US"/>
        </w:rPr>
        <w:t>.</w:t>
      </w:r>
    </w:p>
    <w:p w14:paraId="55D419E7" w14:textId="77777777" w:rsidR="00DB05EB" w:rsidRPr="00FC6DDA" w:rsidRDefault="00DB05EB" w:rsidP="004014E7">
      <w:pPr>
        <w:widowControl w:val="0"/>
        <w:ind w:firstLine="567"/>
        <w:jc w:val="both"/>
        <w:rPr>
          <w:b/>
          <w:bCs/>
          <w:lang w:val="en-US"/>
        </w:rPr>
      </w:pPr>
    </w:p>
    <w:p w14:paraId="49635A0C" w14:textId="6A765585" w:rsidR="00381096" w:rsidRPr="00FC6DDA" w:rsidRDefault="00381096" w:rsidP="00381096">
      <w:pPr>
        <w:ind w:firstLine="540"/>
        <w:rPr>
          <w:sz w:val="28"/>
          <w:szCs w:val="28"/>
        </w:rPr>
      </w:pPr>
      <w:r w:rsidRPr="00FC6DDA">
        <w:rPr>
          <w:noProof/>
          <w:sz w:val="28"/>
          <w:szCs w:val="28"/>
          <w:lang w:val="en-GB" w:eastAsia="en-GB"/>
        </w:rPr>
        <w:drawing>
          <wp:inline distT="0" distB="0" distL="0" distR="0" wp14:anchorId="2C2B4151" wp14:editId="58BBBD3C">
            <wp:extent cx="5486400" cy="2066842"/>
            <wp:effectExtent l="0" t="0" r="0" b="381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FDFC8A" w14:textId="19A6F60D" w:rsidR="00381096" w:rsidRPr="00FC6DDA" w:rsidRDefault="00BA5D6A" w:rsidP="00381096">
      <w:pPr>
        <w:ind w:firstLine="540"/>
        <w:rPr>
          <w:sz w:val="20"/>
          <w:szCs w:val="20"/>
          <w:lang w:val="en-US"/>
        </w:rPr>
      </w:pPr>
      <w:r w:rsidRPr="00FC6DDA">
        <w:rPr>
          <w:sz w:val="20"/>
          <w:szCs w:val="20"/>
          <w:lang w:val="en-US"/>
        </w:rPr>
        <w:t xml:space="preserve">Note – In </w:t>
      </w:r>
      <w:r w:rsidR="00694BCC" w:rsidRPr="00FC6DDA">
        <w:rPr>
          <w:sz w:val="20"/>
          <w:szCs w:val="20"/>
          <w:lang w:val="en-US"/>
        </w:rPr>
        <w:t>accordance with source</w:t>
      </w:r>
      <w:r w:rsidR="00381096" w:rsidRPr="00FC6DDA">
        <w:rPr>
          <w:sz w:val="20"/>
          <w:szCs w:val="20"/>
          <w:lang w:val="en-US"/>
        </w:rPr>
        <w:t xml:space="preserve"> [</w:t>
      </w:r>
      <w:r w:rsidR="00E070BA" w:rsidRPr="00FC6DDA">
        <w:rPr>
          <w:sz w:val="20"/>
          <w:szCs w:val="20"/>
          <w:lang w:val="en-US"/>
        </w:rPr>
        <w:t>20</w:t>
      </w:r>
      <w:r w:rsidR="00381096" w:rsidRPr="00FC6DDA">
        <w:rPr>
          <w:sz w:val="20"/>
          <w:szCs w:val="20"/>
          <w:lang w:val="en-US"/>
        </w:rPr>
        <w:t>]</w:t>
      </w:r>
    </w:p>
    <w:p w14:paraId="3B0483D8" w14:textId="77777777" w:rsidR="00381096" w:rsidRPr="00FC6DDA" w:rsidRDefault="00381096" w:rsidP="00381096">
      <w:pPr>
        <w:ind w:firstLine="567"/>
        <w:jc w:val="both"/>
        <w:rPr>
          <w:lang w:val="en-US"/>
        </w:rPr>
      </w:pPr>
    </w:p>
    <w:p w14:paraId="03826BAF" w14:textId="55B0B05B" w:rsidR="00381096" w:rsidRPr="00FC6DDA" w:rsidRDefault="00694BCC" w:rsidP="00EE4EA2">
      <w:pPr>
        <w:ind w:firstLine="567"/>
        <w:jc w:val="center"/>
        <w:rPr>
          <w:lang w:val="en-US"/>
        </w:rPr>
      </w:pPr>
      <w:r w:rsidRPr="00FC6DDA">
        <w:rPr>
          <w:lang w:val="en-US"/>
        </w:rPr>
        <w:t>Figure</w:t>
      </w:r>
      <w:r w:rsidR="00381096" w:rsidRPr="00FC6DDA">
        <w:rPr>
          <w:lang w:val="en-US"/>
        </w:rPr>
        <w:t xml:space="preserve"> 7 – </w:t>
      </w:r>
      <w:r w:rsidRPr="00FC6DDA">
        <w:rPr>
          <w:lang w:val="en-US"/>
        </w:rPr>
        <w:t>Dynamics of the average salary in the tourism industry</w:t>
      </w:r>
      <w:r w:rsidR="00FC6DDA" w:rsidRPr="00FC6DDA">
        <w:rPr>
          <w:lang w:val="en-US"/>
        </w:rPr>
        <w:t>, tenge</w:t>
      </w:r>
    </w:p>
    <w:p w14:paraId="07AA7547" w14:textId="77777777" w:rsidR="00DB05EB" w:rsidRPr="00FC6DDA" w:rsidRDefault="00DB05EB" w:rsidP="004014E7">
      <w:pPr>
        <w:widowControl w:val="0"/>
        <w:ind w:firstLine="567"/>
        <w:jc w:val="both"/>
        <w:rPr>
          <w:b/>
          <w:bCs/>
          <w:lang w:val="en-US"/>
        </w:rPr>
      </w:pPr>
    </w:p>
    <w:p w14:paraId="1DA5CE5C" w14:textId="0D0E81A7" w:rsidR="00694BCC" w:rsidRPr="00FC6DDA" w:rsidRDefault="00694BCC" w:rsidP="00FC2DED">
      <w:pPr>
        <w:widowControl w:val="0"/>
        <w:ind w:firstLine="567"/>
        <w:jc w:val="both"/>
        <w:rPr>
          <w:lang w:val="en-US"/>
        </w:rPr>
      </w:pPr>
      <w:r w:rsidRPr="00FC6DDA">
        <w:rPr>
          <w:lang w:val="en-US"/>
        </w:rPr>
        <w:t>By comparing the dynamics of employment and the nominal volumes of production of services related to tourism activities, it is possible to determine the dynamics of labor productivity in the tourism industry (Figure 8).</w:t>
      </w:r>
    </w:p>
    <w:p w14:paraId="009099EC" w14:textId="77777777" w:rsidR="00FD499A" w:rsidRPr="00FC6DDA" w:rsidRDefault="00FD499A" w:rsidP="00FC2DED">
      <w:pPr>
        <w:widowControl w:val="0"/>
        <w:ind w:firstLine="567"/>
        <w:jc w:val="both"/>
        <w:rPr>
          <w:lang w:val="en-US"/>
        </w:rPr>
      </w:pPr>
    </w:p>
    <w:p w14:paraId="70965AC3" w14:textId="77777777" w:rsidR="00381096" w:rsidRPr="00FC6DDA" w:rsidRDefault="00381096" w:rsidP="00381096">
      <w:pPr>
        <w:ind w:firstLine="540"/>
        <w:rPr>
          <w:sz w:val="28"/>
          <w:szCs w:val="28"/>
        </w:rPr>
      </w:pPr>
      <w:r w:rsidRPr="00FC6DDA">
        <w:rPr>
          <w:noProof/>
          <w:sz w:val="28"/>
          <w:szCs w:val="28"/>
          <w:lang w:val="en-GB" w:eastAsia="en-GB"/>
        </w:rPr>
        <w:lastRenderedPageBreak/>
        <w:drawing>
          <wp:inline distT="0" distB="0" distL="0" distR="0" wp14:anchorId="513945D7" wp14:editId="5EBFF091">
            <wp:extent cx="5486400" cy="188098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691805" w14:textId="02C48EC2" w:rsidR="00381096" w:rsidRPr="00FC6DDA" w:rsidRDefault="00BA5D6A" w:rsidP="00381096">
      <w:pPr>
        <w:ind w:firstLine="540"/>
        <w:rPr>
          <w:sz w:val="20"/>
          <w:szCs w:val="20"/>
          <w:lang w:val="en-US"/>
        </w:rPr>
      </w:pPr>
      <w:r w:rsidRPr="00FC6DDA">
        <w:rPr>
          <w:sz w:val="20"/>
          <w:szCs w:val="20"/>
          <w:lang w:val="en-US"/>
        </w:rPr>
        <w:t xml:space="preserve">Note – In </w:t>
      </w:r>
      <w:r w:rsidR="00694BCC" w:rsidRPr="00FC6DDA">
        <w:rPr>
          <w:sz w:val="20"/>
          <w:szCs w:val="20"/>
          <w:lang w:val="en-US"/>
        </w:rPr>
        <w:t>accordance with source</w:t>
      </w:r>
      <w:r w:rsidR="00381096" w:rsidRPr="00FC6DDA">
        <w:rPr>
          <w:sz w:val="20"/>
          <w:szCs w:val="20"/>
          <w:lang w:val="en-US"/>
        </w:rPr>
        <w:t xml:space="preserve"> [</w:t>
      </w:r>
      <w:r w:rsidR="00E070BA" w:rsidRPr="00FC6DDA">
        <w:rPr>
          <w:sz w:val="20"/>
          <w:szCs w:val="20"/>
          <w:lang w:val="en-US"/>
        </w:rPr>
        <w:t>20</w:t>
      </w:r>
      <w:r w:rsidR="00381096" w:rsidRPr="00FC6DDA">
        <w:rPr>
          <w:sz w:val="20"/>
          <w:szCs w:val="20"/>
          <w:lang w:val="en-US"/>
        </w:rPr>
        <w:t>]</w:t>
      </w:r>
    </w:p>
    <w:p w14:paraId="03693ACD" w14:textId="77777777" w:rsidR="00381096" w:rsidRPr="00FC6DDA" w:rsidRDefault="00381096" w:rsidP="00381096">
      <w:pPr>
        <w:ind w:firstLine="567"/>
        <w:jc w:val="both"/>
        <w:rPr>
          <w:lang w:val="en-US"/>
        </w:rPr>
      </w:pPr>
    </w:p>
    <w:p w14:paraId="5324DBFB" w14:textId="161878AC" w:rsidR="00381096" w:rsidRPr="00FC6DDA" w:rsidRDefault="00694BCC" w:rsidP="00EE4EA2">
      <w:pPr>
        <w:ind w:firstLine="567"/>
        <w:jc w:val="center"/>
        <w:rPr>
          <w:lang w:val="en-US"/>
        </w:rPr>
      </w:pPr>
      <w:r w:rsidRPr="00FC6DDA">
        <w:rPr>
          <w:lang w:val="en-US"/>
        </w:rPr>
        <w:t>Figure</w:t>
      </w:r>
      <w:r w:rsidR="00381096" w:rsidRPr="00FC6DDA">
        <w:rPr>
          <w:lang w:val="en-US"/>
        </w:rPr>
        <w:t xml:space="preserve"> 8 – </w:t>
      </w:r>
      <w:r w:rsidRPr="00FC6DDA">
        <w:rPr>
          <w:lang w:val="en-US"/>
        </w:rPr>
        <w:t>Dynamics of labor productivity in the sphere of services related to tourism activities</w:t>
      </w:r>
      <w:r w:rsidR="00FC6DDA" w:rsidRPr="00FC6DDA">
        <w:rPr>
          <w:lang w:val="en-US"/>
        </w:rPr>
        <w:t>, a thousand tenge/person</w:t>
      </w:r>
    </w:p>
    <w:p w14:paraId="0A87355A" w14:textId="001671B3" w:rsidR="00C33ABB" w:rsidRPr="00FC6DDA" w:rsidRDefault="00C33ABB" w:rsidP="001B601D">
      <w:pPr>
        <w:widowControl w:val="0"/>
        <w:suppressAutoHyphens/>
        <w:jc w:val="both"/>
        <w:rPr>
          <w:lang w:val="en-US"/>
        </w:rPr>
      </w:pPr>
    </w:p>
    <w:p w14:paraId="314DB466" w14:textId="77777777" w:rsidR="00FD499A" w:rsidRPr="00FC6DDA" w:rsidRDefault="00FD499A" w:rsidP="00FD499A">
      <w:pPr>
        <w:widowControl w:val="0"/>
        <w:ind w:firstLine="567"/>
        <w:jc w:val="both"/>
        <w:rPr>
          <w:lang w:val="en-US"/>
        </w:rPr>
      </w:pPr>
      <w:r w:rsidRPr="00FC6DDA">
        <w:rPr>
          <w:lang w:val="en-US"/>
        </w:rPr>
        <w:t>Comparing the dynamics of labor productivity in the tourism industry and the dynamics of employment in the tourism industry, it is clear that, with a certain degree of probability, there is an intensification of labor processes. Nevertheless, the value of productivity remains at a very low level.</w:t>
      </w:r>
    </w:p>
    <w:p w14:paraId="479C7FCA" w14:textId="77777777" w:rsidR="00694BCC" w:rsidRPr="00FC6DDA" w:rsidRDefault="00694BCC" w:rsidP="001B601D">
      <w:pPr>
        <w:widowControl w:val="0"/>
        <w:suppressAutoHyphens/>
        <w:ind w:firstLine="567"/>
        <w:jc w:val="both"/>
        <w:rPr>
          <w:lang w:val="en-US"/>
        </w:rPr>
      </w:pPr>
      <w:r w:rsidRPr="00FC6DDA">
        <w:rPr>
          <w:lang w:val="en-US"/>
        </w:rPr>
        <w:t>The initial infrastructural organizational and economic foundations for the functioning of the tourism industry are:</w:t>
      </w:r>
    </w:p>
    <w:p w14:paraId="59DF5481" w14:textId="77777777" w:rsidR="00694BCC" w:rsidRPr="00FC6DDA" w:rsidRDefault="00694BCC" w:rsidP="001B601D">
      <w:pPr>
        <w:widowControl w:val="0"/>
        <w:suppressAutoHyphens/>
        <w:ind w:firstLine="567"/>
        <w:jc w:val="both"/>
        <w:rPr>
          <w:lang w:val="en-US"/>
        </w:rPr>
      </w:pPr>
      <w:r w:rsidRPr="00FC6DDA">
        <w:rPr>
          <w:lang w:val="en-US"/>
        </w:rPr>
        <w:t>- organizations providing a range of services related to tourism activities;</w:t>
      </w:r>
    </w:p>
    <w:p w14:paraId="67B9B6D2" w14:textId="77777777" w:rsidR="00694BCC" w:rsidRPr="00FC6DDA" w:rsidRDefault="00694BCC" w:rsidP="001B601D">
      <w:pPr>
        <w:widowControl w:val="0"/>
        <w:suppressAutoHyphens/>
        <w:ind w:firstLine="567"/>
        <w:jc w:val="both"/>
        <w:rPr>
          <w:lang w:val="en-US"/>
        </w:rPr>
      </w:pPr>
      <w:r w:rsidRPr="00FC6DDA">
        <w:rPr>
          <w:lang w:val="en-US"/>
        </w:rPr>
        <w:t>- production facilities of the hotel business;</w:t>
      </w:r>
    </w:p>
    <w:p w14:paraId="5AA78DF3" w14:textId="77777777" w:rsidR="00694BCC" w:rsidRPr="00FC6DDA" w:rsidRDefault="00694BCC" w:rsidP="001B601D">
      <w:pPr>
        <w:widowControl w:val="0"/>
        <w:suppressAutoHyphens/>
        <w:ind w:firstLine="567"/>
        <w:jc w:val="both"/>
        <w:rPr>
          <w:lang w:val="en-US"/>
        </w:rPr>
      </w:pPr>
      <w:r w:rsidRPr="00FC6DDA">
        <w:rPr>
          <w:lang w:val="en-US"/>
        </w:rPr>
        <w:t>- availability of fixed capital (fixed assets).</w:t>
      </w:r>
    </w:p>
    <w:p w14:paraId="2C7C309B" w14:textId="3D570BA7" w:rsidR="001B601D" w:rsidRPr="00FC6DDA" w:rsidRDefault="00694BCC" w:rsidP="001B601D">
      <w:pPr>
        <w:ind w:firstLine="567"/>
        <w:jc w:val="both"/>
        <w:rPr>
          <w:lang w:val="en-US"/>
        </w:rPr>
      </w:pPr>
      <w:r w:rsidRPr="00FC6DDA">
        <w:rPr>
          <w:lang w:val="en-US"/>
        </w:rPr>
        <w:t>The dynamics of organizations providing services related to tourism activities is cyclical. The total number of organizations providing services related to tourism activities from 2015 to 2019 decreased from 193 units to 137 units (Figure 9)</w:t>
      </w:r>
      <w:r w:rsidR="00DC5267" w:rsidRPr="00FC6DDA">
        <w:rPr>
          <w:lang w:val="en-US"/>
        </w:rPr>
        <w:t>.</w:t>
      </w:r>
      <w:r w:rsidR="001B601D" w:rsidRPr="00FC6DDA">
        <w:rPr>
          <w:lang w:val="en-US"/>
        </w:rPr>
        <w:t xml:space="preserve"> The bulk of the services provided falls on small businesses (Figure 10).</w:t>
      </w:r>
    </w:p>
    <w:p w14:paraId="43DA1D6D" w14:textId="77777777" w:rsidR="00FC6DDA" w:rsidRPr="00FC6DDA" w:rsidRDefault="00FC6DDA" w:rsidP="001B601D">
      <w:pPr>
        <w:ind w:firstLine="567"/>
        <w:jc w:val="both"/>
        <w:rPr>
          <w:lang w:val="en-US"/>
        </w:rPr>
      </w:pPr>
    </w:p>
    <w:p w14:paraId="40AC0351" w14:textId="55D5B46D" w:rsidR="00DC5267" w:rsidRPr="00FC6DDA" w:rsidRDefault="00DC5267" w:rsidP="00DC5267">
      <w:pPr>
        <w:ind w:firstLine="540"/>
        <w:rPr>
          <w:sz w:val="28"/>
          <w:szCs w:val="28"/>
        </w:rPr>
      </w:pPr>
      <w:r w:rsidRPr="00FC6DDA">
        <w:rPr>
          <w:noProof/>
          <w:sz w:val="28"/>
          <w:szCs w:val="28"/>
          <w:lang w:val="en-GB" w:eastAsia="en-GB"/>
        </w:rPr>
        <w:drawing>
          <wp:inline distT="0" distB="0" distL="0" distR="0" wp14:anchorId="649A3CD1" wp14:editId="0277A9FF">
            <wp:extent cx="5486400" cy="1825321"/>
            <wp:effectExtent l="0" t="0" r="0" b="381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1216C0E" w14:textId="6707B9D9" w:rsidR="00DC5267" w:rsidRPr="00FC6DDA" w:rsidRDefault="00BA5D6A" w:rsidP="00DC5267">
      <w:pPr>
        <w:ind w:firstLine="540"/>
        <w:rPr>
          <w:sz w:val="20"/>
          <w:szCs w:val="20"/>
          <w:lang w:val="en-US"/>
        </w:rPr>
      </w:pPr>
      <w:r w:rsidRPr="00FC6DDA">
        <w:rPr>
          <w:sz w:val="20"/>
          <w:szCs w:val="20"/>
          <w:lang w:val="en-US"/>
        </w:rPr>
        <w:t xml:space="preserve">Note – In </w:t>
      </w:r>
      <w:r w:rsidR="00694BCC" w:rsidRPr="00FC6DDA">
        <w:rPr>
          <w:sz w:val="20"/>
          <w:szCs w:val="20"/>
          <w:lang w:val="en-US"/>
        </w:rPr>
        <w:t>accordance with source</w:t>
      </w:r>
      <w:r w:rsidR="00DC5267"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DC5267" w:rsidRPr="00FC6DDA">
        <w:rPr>
          <w:sz w:val="20"/>
          <w:szCs w:val="20"/>
          <w:lang w:val="en-US"/>
        </w:rPr>
        <w:t>]</w:t>
      </w:r>
    </w:p>
    <w:p w14:paraId="68876E2B" w14:textId="77777777" w:rsidR="00DC5267" w:rsidRPr="00FC6DDA" w:rsidRDefault="00DC5267" w:rsidP="00DC5267">
      <w:pPr>
        <w:ind w:firstLine="567"/>
        <w:jc w:val="both"/>
        <w:rPr>
          <w:lang w:val="en-US"/>
        </w:rPr>
      </w:pPr>
    </w:p>
    <w:p w14:paraId="22080103" w14:textId="24A71A7E" w:rsidR="00DC5267" w:rsidRPr="00FC6DDA" w:rsidRDefault="00694BCC" w:rsidP="00FC6DDA">
      <w:pPr>
        <w:ind w:firstLine="567"/>
        <w:jc w:val="center"/>
        <w:rPr>
          <w:lang w:val="en-US"/>
        </w:rPr>
      </w:pPr>
      <w:r w:rsidRPr="00FC6DDA">
        <w:rPr>
          <w:lang w:val="en-US"/>
        </w:rPr>
        <w:t>Figure</w:t>
      </w:r>
      <w:r w:rsidR="00DC5267" w:rsidRPr="00FC6DDA">
        <w:rPr>
          <w:lang w:val="en-US"/>
        </w:rPr>
        <w:t xml:space="preserve"> 9 – </w:t>
      </w:r>
      <w:r w:rsidRPr="00FC6DDA">
        <w:rPr>
          <w:lang w:val="en-US"/>
        </w:rPr>
        <w:t>Dynamics of organizations providing services related to tourism activities</w:t>
      </w:r>
      <w:r w:rsidR="00FC6DDA" w:rsidRPr="00FC6DDA">
        <w:rPr>
          <w:lang w:val="en-US"/>
        </w:rPr>
        <w:t>, units</w:t>
      </w:r>
    </w:p>
    <w:p w14:paraId="0C3807DD" w14:textId="5C925A70" w:rsidR="00DC5267" w:rsidRPr="00FC6DDA" w:rsidRDefault="00DC5267" w:rsidP="00DC5267">
      <w:pPr>
        <w:ind w:firstLine="567"/>
        <w:jc w:val="both"/>
        <w:rPr>
          <w:lang w:val="en-US"/>
        </w:rPr>
      </w:pPr>
    </w:p>
    <w:p w14:paraId="79219645" w14:textId="77777777" w:rsidR="00EB7417" w:rsidRPr="00FC6DDA" w:rsidRDefault="00EB7417" w:rsidP="00EB7417">
      <w:pPr>
        <w:ind w:firstLine="567"/>
        <w:jc w:val="both"/>
        <w:rPr>
          <w:lang w:val="en-US"/>
        </w:rPr>
      </w:pPr>
    </w:p>
    <w:p w14:paraId="2EA5D3CF" w14:textId="77777777" w:rsidR="00DC5267" w:rsidRPr="00FC6DDA" w:rsidRDefault="00DC5267" w:rsidP="00DC5267">
      <w:pPr>
        <w:ind w:firstLine="540"/>
      </w:pPr>
      <w:r w:rsidRPr="00FC6DDA">
        <w:rPr>
          <w:noProof/>
          <w:szCs w:val="28"/>
          <w:lang w:val="en-GB" w:eastAsia="en-GB"/>
        </w:rPr>
        <w:lastRenderedPageBreak/>
        <w:drawing>
          <wp:inline distT="0" distB="0" distL="0" distR="0" wp14:anchorId="74350048" wp14:editId="09044BDC">
            <wp:extent cx="5486400" cy="1782583"/>
            <wp:effectExtent l="0" t="0" r="0" b="825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4A44146" w14:textId="5A207247" w:rsidR="00DC5267" w:rsidRPr="00FC6DDA" w:rsidRDefault="00BA5D6A" w:rsidP="00DC5267">
      <w:pPr>
        <w:ind w:firstLine="540"/>
        <w:rPr>
          <w:sz w:val="20"/>
          <w:szCs w:val="20"/>
          <w:lang w:val="en-US"/>
        </w:rPr>
      </w:pPr>
      <w:r w:rsidRPr="00FC6DDA">
        <w:rPr>
          <w:sz w:val="20"/>
          <w:szCs w:val="20"/>
          <w:lang w:val="en-US"/>
        </w:rPr>
        <w:t xml:space="preserve">Note – In </w:t>
      </w:r>
      <w:r w:rsidR="00694BCC" w:rsidRPr="00FC6DDA">
        <w:rPr>
          <w:sz w:val="20"/>
          <w:szCs w:val="20"/>
          <w:lang w:val="en-US"/>
        </w:rPr>
        <w:t>accordance with source</w:t>
      </w:r>
      <w:r w:rsidR="00DC5267" w:rsidRPr="00FC6DDA">
        <w:rPr>
          <w:sz w:val="20"/>
          <w:szCs w:val="20"/>
          <w:lang w:val="en-US"/>
        </w:rPr>
        <w:t xml:space="preserve"> [</w:t>
      </w:r>
      <w:r w:rsidR="00BC126D" w:rsidRPr="00FC6DDA">
        <w:rPr>
          <w:sz w:val="20"/>
          <w:szCs w:val="20"/>
          <w:lang w:val="en-US"/>
        </w:rPr>
        <w:t>1</w:t>
      </w:r>
      <w:r w:rsidR="00E070BA" w:rsidRPr="00FC6DDA">
        <w:rPr>
          <w:sz w:val="20"/>
          <w:szCs w:val="20"/>
          <w:lang w:val="en-US"/>
        </w:rPr>
        <w:t>3</w:t>
      </w:r>
      <w:r w:rsidR="00DC5267" w:rsidRPr="00FC6DDA">
        <w:rPr>
          <w:sz w:val="20"/>
          <w:szCs w:val="20"/>
          <w:lang w:val="en-US"/>
        </w:rPr>
        <w:t>]</w:t>
      </w:r>
    </w:p>
    <w:p w14:paraId="6DB7B2D6" w14:textId="77777777" w:rsidR="00DC5267" w:rsidRPr="00FC6DDA" w:rsidRDefault="00DC5267" w:rsidP="00DC5267">
      <w:pPr>
        <w:ind w:firstLine="567"/>
        <w:jc w:val="both"/>
        <w:rPr>
          <w:lang w:val="en-US"/>
        </w:rPr>
      </w:pPr>
    </w:p>
    <w:p w14:paraId="2ABB72EF" w14:textId="74C51464" w:rsidR="00DC5267" w:rsidRPr="00FC6DDA" w:rsidRDefault="00694BCC" w:rsidP="00FC6DDA">
      <w:pPr>
        <w:ind w:firstLine="567"/>
        <w:jc w:val="center"/>
        <w:rPr>
          <w:lang w:val="en-US"/>
        </w:rPr>
      </w:pPr>
      <w:r w:rsidRPr="00FC6DDA">
        <w:rPr>
          <w:lang w:val="en-US"/>
        </w:rPr>
        <w:t>Figure 10 - Dynamics of the structure of tourism services in the context of enterprises by size</w:t>
      </w:r>
      <w:r w:rsidR="00FC6DDA" w:rsidRPr="00FC6DDA">
        <w:rPr>
          <w:lang w:val="en-US"/>
        </w:rPr>
        <w:t>, %</w:t>
      </w:r>
    </w:p>
    <w:p w14:paraId="7A044A9E" w14:textId="77777777" w:rsidR="00FD499A" w:rsidRPr="00FC6DDA" w:rsidRDefault="00FD499A" w:rsidP="001B601D">
      <w:pPr>
        <w:ind w:firstLine="567"/>
        <w:jc w:val="both"/>
        <w:rPr>
          <w:lang w:val="en-US"/>
        </w:rPr>
      </w:pPr>
    </w:p>
    <w:p w14:paraId="173F6567" w14:textId="309FB58A" w:rsidR="001B601D" w:rsidRPr="00FC6DDA" w:rsidRDefault="001B601D" w:rsidP="001B601D">
      <w:pPr>
        <w:ind w:firstLine="567"/>
        <w:jc w:val="both"/>
        <w:rPr>
          <w:lang w:val="en-US"/>
        </w:rPr>
      </w:pPr>
      <w:r w:rsidRPr="00FC6DDA">
        <w:rPr>
          <w:lang w:val="en-US"/>
        </w:rPr>
        <w:t>The following should be considered as the leading production facilities in the tourism sector of Pavlodar region:</w:t>
      </w:r>
    </w:p>
    <w:p w14:paraId="7621ECFE" w14:textId="77777777" w:rsidR="001B601D" w:rsidRPr="00FC6DDA" w:rsidRDefault="001B601D" w:rsidP="001B601D">
      <w:pPr>
        <w:ind w:firstLine="567"/>
        <w:jc w:val="both"/>
        <w:rPr>
          <w:lang w:val="en-US"/>
        </w:rPr>
      </w:pPr>
      <w:r w:rsidRPr="00FC6DDA">
        <w:rPr>
          <w:lang w:val="en-US"/>
        </w:rPr>
        <w:t>- the number of accommodation rooms in hotel complexes;</w:t>
      </w:r>
    </w:p>
    <w:p w14:paraId="0E8DCA0B" w14:textId="77777777" w:rsidR="001B601D" w:rsidRPr="00FC6DDA" w:rsidRDefault="001B601D" w:rsidP="001B601D">
      <w:pPr>
        <w:ind w:firstLine="567"/>
        <w:jc w:val="both"/>
        <w:rPr>
          <w:lang w:val="en-US"/>
        </w:rPr>
      </w:pPr>
      <w:r w:rsidRPr="00FC6DDA">
        <w:rPr>
          <w:lang w:val="en-US"/>
        </w:rPr>
        <w:t>- the potential number of guests for one-time accommodation.</w:t>
      </w:r>
    </w:p>
    <w:p w14:paraId="708CCA4E" w14:textId="195576C0" w:rsidR="001B601D" w:rsidRPr="00FC6DDA" w:rsidRDefault="001B601D" w:rsidP="001B601D">
      <w:pPr>
        <w:ind w:firstLine="567"/>
        <w:jc w:val="both"/>
        <w:rPr>
          <w:lang w:val="en-US"/>
        </w:rPr>
      </w:pPr>
      <w:r w:rsidRPr="00FC6DDA">
        <w:rPr>
          <w:lang w:val="en-US"/>
        </w:rPr>
        <w:t xml:space="preserve">The dynamics of the number of guests for one-time accommodation is presented in </w:t>
      </w:r>
      <w:r w:rsidR="008850F3" w:rsidRPr="00FC6DDA">
        <w:rPr>
          <w:lang w:val="en-US"/>
        </w:rPr>
        <w:t>t</w:t>
      </w:r>
      <w:r w:rsidRPr="00FC6DDA">
        <w:rPr>
          <w:lang w:val="en-US"/>
        </w:rPr>
        <w:t>able 6.</w:t>
      </w:r>
    </w:p>
    <w:p w14:paraId="4CB130D5" w14:textId="77777777" w:rsidR="00C33ABB" w:rsidRPr="00FC6DDA" w:rsidRDefault="00C33ABB" w:rsidP="00DB05EB">
      <w:pPr>
        <w:ind w:firstLine="567"/>
        <w:jc w:val="both"/>
        <w:rPr>
          <w:b/>
          <w:bCs/>
          <w:lang w:val="en-US"/>
        </w:rPr>
      </w:pPr>
    </w:p>
    <w:p w14:paraId="32747936" w14:textId="1DE743AB" w:rsidR="00EB7417" w:rsidRPr="00FC6DDA" w:rsidRDefault="00694BCC" w:rsidP="00EB7417">
      <w:pPr>
        <w:rPr>
          <w:lang w:val="en-US"/>
        </w:rPr>
      </w:pPr>
      <w:r w:rsidRPr="00FC6DDA">
        <w:rPr>
          <w:lang w:val="en-US"/>
        </w:rPr>
        <w:t xml:space="preserve">Table 6 </w:t>
      </w:r>
      <w:r w:rsidR="00BA5D6A" w:rsidRPr="00FC6DDA">
        <w:rPr>
          <w:lang w:val="en-US"/>
        </w:rPr>
        <w:t>–</w:t>
      </w:r>
      <w:r w:rsidRPr="00FC6DDA">
        <w:rPr>
          <w:lang w:val="en-US"/>
        </w:rPr>
        <w:t xml:space="preserve"> Dynamics of production capacities of tourism activities for one-time accommodation of guests</w:t>
      </w:r>
      <w:r w:rsidR="00FC6DDA" w:rsidRPr="00FC6DDA">
        <w:rPr>
          <w:lang w:val="en-US"/>
        </w:rPr>
        <w:t>, number of people</w:t>
      </w:r>
    </w:p>
    <w:p w14:paraId="395AE57C" w14:textId="16B4B8B9" w:rsidR="00EB7417" w:rsidRPr="00FC6DDA" w:rsidRDefault="00EB7417" w:rsidP="00EB7417">
      <w:pPr>
        <w:jc w:val="right"/>
        <w:rPr>
          <w:lang w:val="en-US"/>
        </w:rPr>
      </w:pPr>
    </w:p>
    <w:tbl>
      <w:tblPr>
        <w:tblStyle w:val="TableGrid"/>
        <w:tblW w:w="0" w:type="auto"/>
        <w:tblLook w:val="04A0" w:firstRow="1" w:lastRow="0" w:firstColumn="1" w:lastColumn="0" w:noHBand="0" w:noVBand="1"/>
      </w:tblPr>
      <w:tblGrid>
        <w:gridCol w:w="4675"/>
        <w:gridCol w:w="990"/>
        <w:gridCol w:w="991"/>
        <w:gridCol w:w="990"/>
        <w:gridCol w:w="991"/>
        <w:gridCol w:w="991"/>
      </w:tblGrid>
      <w:tr w:rsidR="00EB7417" w:rsidRPr="00FC6DDA" w14:paraId="3C8E1140" w14:textId="77777777" w:rsidTr="00F25AA8">
        <w:tc>
          <w:tcPr>
            <w:tcW w:w="4675" w:type="dxa"/>
            <w:vMerge w:val="restart"/>
          </w:tcPr>
          <w:p w14:paraId="6F2289DB" w14:textId="455AE11E" w:rsidR="00EB7417" w:rsidRPr="00FC6DDA" w:rsidRDefault="00FC6DDA" w:rsidP="00FC6DDA">
            <w:pPr>
              <w:jc w:val="center"/>
              <w:rPr>
                <w:lang w:val="en-US"/>
              </w:rPr>
            </w:pPr>
            <w:r w:rsidRPr="00FC6DDA">
              <w:rPr>
                <w:lang w:val="en-US"/>
              </w:rPr>
              <w:t>City and district</w:t>
            </w:r>
          </w:p>
        </w:tc>
        <w:tc>
          <w:tcPr>
            <w:tcW w:w="4953" w:type="dxa"/>
            <w:gridSpan w:val="5"/>
          </w:tcPr>
          <w:p w14:paraId="1B0F7F29" w14:textId="5F2CC191" w:rsidR="00EB7417" w:rsidRPr="00FC6DDA" w:rsidRDefault="00FC6DDA" w:rsidP="00F25AA8">
            <w:pPr>
              <w:jc w:val="center"/>
              <w:rPr>
                <w:lang w:val="en-US"/>
              </w:rPr>
            </w:pPr>
            <w:r w:rsidRPr="00FC6DDA">
              <w:rPr>
                <w:lang w:val="en-US"/>
              </w:rPr>
              <w:t>Year</w:t>
            </w:r>
          </w:p>
        </w:tc>
      </w:tr>
      <w:tr w:rsidR="00EB7417" w:rsidRPr="00FC6DDA" w14:paraId="26895ABF" w14:textId="77777777" w:rsidTr="00F25AA8">
        <w:tc>
          <w:tcPr>
            <w:tcW w:w="4675" w:type="dxa"/>
            <w:vMerge/>
          </w:tcPr>
          <w:p w14:paraId="3138976C" w14:textId="77777777" w:rsidR="00EB7417" w:rsidRPr="00FC6DDA" w:rsidRDefault="00EB7417" w:rsidP="00F25AA8">
            <w:pPr>
              <w:jc w:val="center"/>
            </w:pPr>
          </w:p>
        </w:tc>
        <w:tc>
          <w:tcPr>
            <w:tcW w:w="990" w:type="dxa"/>
          </w:tcPr>
          <w:p w14:paraId="6315D589" w14:textId="77777777" w:rsidR="00EB7417" w:rsidRPr="00FC6DDA" w:rsidRDefault="00EB7417" w:rsidP="00F25AA8">
            <w:pPr>
              <w:jc w:val="center"/>
            </w:pPr>
            <w:r w:rsidRPr="00FC6DDA">
              <w:t>2015</w:t>
            </w:r>
          </w:p>
        </w:tc>
        <w:tc>
          <w:tcPr>
            <w:tcW w:w="991" w:type="dxa"/>
          </w:tcPr>
          <w:p w14:paraId="57ADD7AA" w14:textId="77777777" w:rsidR="00EB7417" w:rsidRPr="00FC6DDA" w:rsidRDefault="00EB7417" w:rsidP="00F25AA8">
            <w:pPr>
              <w:jc w:val="center"/>
            </w:pPr>
            <w:r w:rsidRPr="00FC6DDA">
              <w:t>2016</w:t>
            </w:r>
          </w:p>
        </w:tc>
        <w:tc>
          <w:tcPr>
            <w:tcW w:w="990" w:type="dxa"/>
          </w:tcPr>
          <w:p w14:paraId="43376801" w14:textId="77777777" w:rsidR="00EB7417" w:rsidRPr="00FC6DDA" w:rsidRDefault="00EB7417" w:rsidP="00F25AA8">
            <w:pPr>
              <w:jc w:val="center"/>
            </w:pPr>
            <w:r w:rsidRPr="00FC6DDA">
              <w:t>2017</w:t>
            </w:r>
          </w:p>
        </w:tc>
        <w:tc>
          <w:tcPr>
            <w:tcW w:w="991" w:type="dxa"/>
          </w:tcPr>
          <w:p w14:paraId="3F9DC0A3" w14:textId="77777777" w:rsidR="00EB7417" w:rsidRPr="00FC6DDA" w:rsidRDefault="00EB7417" w:rsidP="00F25AA8">
            <w:pPr>
              <w:jc w:val="center"/>
            </w:pPr>
            <w:r w:rsidRPr="00FC6DDA">
              <w:t>2018</w:t>
            </w:r>
          </w:p>
        </w:tc>
        <w:tc>
          <w:tcPr>
            <w:tcW w:w="991" w:type="dxa"/>
          </w:tcPr>
          <w:p w14:paraId="21F3F1A0" w14:textId="77777777" w:rsidR="00EB7417" w:rsidRPr="00FC6DDA" w:rsidRDefault="00EB7417" w:rsidP="00F25AA8">
            <w:pPr>
              <w:jc w:val="center"/>
            </w:pPr>
            <w:r w:rsidRPr="00FC6DDA">
              <w:t>2019</w:t>
            </w:r>
          </w:p>
        </w:tc>
      </w:tr>
      <w:tr w:rsidR="00EB7417" w:rsidRPr="00FC6DDA" w14:paraId="2D2008CF" w14:textId="77777777" w:rsidTr="00F25AA8">
        <w:tc>
          <w:tcPr>
            <w:tcW w:w="4675" w:type="dxa"/>
          </w:tcPr>
          <w:p w14:paraId="7E6B2022" w14:textId="3DBBFCF4" w:rsidR="00EB7417" w:rsidRPr="00FC6DDA" w:rsidRDefault="00963274" w:rsidP="00F25AA8">
            <w:pPr>
              <w:jc w:val="center"/>
              <w:rPr>
                <w:lang w:val="en-US"/>
              </w:rPr>
            </w:pPr>
            <w:r w:rsidRPr="00FC6DDA">
              <w:rPr>
                <w:lang w:val="en-US"/>
              </w:rPr>
              <w:t>Pavlodar region</w:t>
            </w:r>
          </w:p>
        </w:tc>
        <w:tc>
          <w:tcPr>
            <w:tcW w:w="990" w:type="dxa"/>
            <w:vAlign w:val="bottom"/>
          </w:tcPr>
          <w:p w14:paraId="6EBCB4E1" w14:textId="77777777" w:rsidR="00EB7417" w:rsidRPr="00FC6DDA" w:rsidRDefault="00EB7417" w:rsidP="00F25AA8">
            <w:pPr>
              <w:jc w:val="center"/>
            </w:pPr>
            <w:r w:rsidRPr="00FC6DDA">
              <w:t>4</w:t>
            </w:r>
            <w:r w:rsidRPr="00FC6DDA">
              <w:rPr>
                <w:lang w:val="en-US"/>
              </w:rPr>
              <w:t xml:space="preserve"> </w:t>
            </w:r>
            <w:r w:rsidRPr="00FC6DDA">
              <w:t>648</w:t>
            </w:r>
          </w:p>
        </w:tc>
        <w:tc>
          <w:tcPr>
            <w:tcW w:w="991" w:type="dxa"/>
            <w:vAlign w:val="bottom"/>
          </w:tcPr>
          <w:p w14:paraId="587417BE" w14:textId="77777777" w:rsidR="00EB7417" w:rsidRPr="00FC6DDA" w:rsidRDefault="00EB7417" w:rsidP="00F25AA8">
            <w:pPr>
              <w:jc w:val="center"/>
            </w:pPr>
            <w:r w:rsidRPr="00FC6DDA">
              <w:t>5</w:t>
            </w:r>
            <w:r w:rsidRPr="00FC6DDA">
              <w:rPr>
                <w:lang w:val="en-US"/>
              </w:rPr>
              <w:t xml:space="preserve"> </w:t>
            </w:r>
            <w:r w:rsidRPr="00FC6DDA">
              <w:t>800</w:t>
            </w:r>
          </w:p>
        </w:tc>
        <w:tc>
          <w:tcPr>
            <w:tcW w:w="990" w:type="dxa"/>
            <w:vAlign w:val="bottom"/>
          </w:tcPr>
          <w:p w14:paraId="78BFC589" w14:textId="77777777" w:rsidR="00EB7417" w:rsidRPr="00FC6DDA" w:rsidRDefault="00EB7417" w:rsidP="00F25AA8">
            <w:pPr>
              <w:jc w:val="center"/>
            </w:pPr>
            <w:r w:rsidRPr="00FC6DDA">
              <w:t>5</w:t>
            </w:r>
            <w:r w:rsidRPr="00FC6DDA">
              <w:rPr>
                <w:lang w:val="en-US"/>
              </w:rPr>
              <w:t xml:space="preserve"> </w:t>
            </w:r>
            <w:r w:rsidRPr="00FC6DDA">
              <w:t>620</w:t>
            </w:r>
          </w:p>
        </w:tc>
        <w:tc>
          <w:tcPr>
            <w:tcW w:w="991" w:type="dxa"/>
            <w:vAlign w:val="bottom"/>
          </w:tcPr>
          <w:p w14:paraId="700A2016" w14:textId="77777777" w:rsidR="00EB7417" w:rsidRPr="00FC6DDA" w:rsidRDefault="00EB7417" w:rsidP="00F25AA8">
            <w:pPr>
              <w:jc w:val="center"/>
            </w:pPr>
            <w:r w:rsidRPr="00FC6DDA">
              <w:t>5</w:t>
            </w:r>
            <w:r w:rsidRPr="00FC6DDA">
              <w:rPr>
                <w:lang w:val="en-US"/>
              </w:rPr>
              <w:t xml:space="preserve"> </w:t>
            </w:r>
            <w:r w:rsidRPr="00FC6DDA">
              <w:t>584</w:t>
            </w:r>
          </w:p>
        </w:tc>
        <w:tc>
          <w:tcPr>
            <w:tcW w:w="991" w:type="dxa"/>
            <w:vAlign w:val="bottom"/>
          </w:tcPr>
          <w:p w14:paraId="4F7DEDFE" w14:textId="77777777" w:rsidR="00EB7417" w:rsidRPr="00FC6DDA" w:rsidRDefault="00EB7417" w:rsidP="00F25AA8">
            <w:pPr>
              <w:jc w:val="center"/>
            </w:pPr>
            <w:r w:rsidRPr="00FC6DDA">
              <w:t>6</w:t>
            </w:r>
            <w:r w:rsidRPr="00FC6DDA">
              <w:rPr>
                <w:lang w:val="en-US"/>
              </w:rPr>
              <w:t xml:space="preserve"> </w:t>
            </w:r>
            <w:r w:rsidRPr="00FC6DDA">
              <w:t>116</w:t>
            </w:r>
          </w:p>
        </w:tc>
      </w:tr>
      <w:tr w:rsidR="00EB7417" w:rsidRPr="00FC6DDA" w14:paraId="6AB377AE" w14:textId="77777777" w:rsidTr="00F25AA8">
        <w:tc>
          <w:tcPr>
            <w:tcW w:w="4675" w:type="dxa"/>
          </w:tcPr>
          <w:p w14:paraId="40FEB761" w14:textId="107C641E" w:rsidR="00EB7417" w:rsidRPr="00FC6DDA" w:rsidRDefault="00963274" w:rsidP="00F25AA8">
            <w:pPr>
              <w:jc w:val="center"/>
              <w:rPr>
                <w:lang w:val="en-US"/>
              </w:rPr>
            </w:pPr>
            <w:r w:rsidRPr="00FC6DDA">
              <w:rPr>
                <w:lang w:val="en-US"/>
              </w:rPr>
              <w:t>Pavlodar</w:t>
            </w:r>
          </w:p>
        </w:tc>
        <w:tc>
          <w:tcPr>
            <w:tcW w:w="990" w:type="dxa"/>
            <w:vAlign w:val="bottom"/>
          </w:tcPr>
          <w:p w14:paraId="06CDD756" w14:textId="77777777" w:rsidR="00EB7417" w:rsidRPr="00FC6DDA" w:rsidRDefault="00EB7417" w:rsidP="00F25AA8">
            <w:pPr>
              <w:jc w:val="center"/>
            </w:pPr>
            <w:r w:rsidRPr="00FC6DDA">
              <w:t>1</w:t>
            </w:r>
            <w:r w:rsidRPr="00FC6DDA">
              <w:rPr>
                <w:lang w:val="en-US"/>
              </w:rPr>
              <w:t xml:space="preserve"> </w:t>
            </w:r>
            <w:r w:rsidRPr="00FC6DDA">
              <w:t>708</w:t>
            </w:r>
          </w:p>
        </w:tc>
        <w:tc>
          <w:tcPr>
            <w:tcW w:w="991" w:type="dxa"/>
            <w:vAlign w:val="bottom"/>
          </w:tcPr>
          <w:p w14:paraId="21CAC294" w14:textId="77777777" w:rsidR="00EB7417" w:rsidRPr="00FC6DDA" w:rsidRDefault="00EB7417" w:rsidP="00F25AA8">
            <w:pPr>
              <w:jc w:val="center"/>
            </w:pPr>
            <w:r w:rsidRPr="00FC6DDA">
              <w:t>1</w:t>
            </w:r>
            <w:r w:rsidRPr="00FC6DDA">
              <w:rPr>
                <w:lang w:val="en-US"/>
              </w:rPr>
              <w:t xml:space="preserve"> </w:t>
            </w:r>
            <w:r w:rsidRPr="00FC6DDA">
              <w:t>996</w:t>
            </w:r>
          </w:p>
        </w:tc>
        <w:tc>
          <w:tcPr>
            <w:tcW w:w="990" w:type="dxa"/>
            <w:vAlign w:val="bottom"/>
          </w:tcPr>
          <w:p w14:paraId="7A97746A" w14:textId="77777777" w:rsidR="00EB7417" w:rsidRPr="00FC6DDA" w:rsidRDefault="00EB7417" w:rsidP="00F25AA8">
            <w:pPr>
              <w:jc w:val="center"/>
            </w:pPr>
            <w:r w:rsidRPr="00FC6DDA">
              <w:t>1</w:t>
            </w:r>
            <w:r w:rsidRPr="00FC6DDA">
              <w:rPr>
                <w:lang w:val="en-US"/>
              </w:rPr>
              <w:t xml:space="preserve"> </w:t>
            </w:r>
            <w:r w:rsidRPr="00FC6DDA">
              <w:t>976</w:t>
            </w:r>
          </w:p>
        </w:tc>
        <w:tc>
          <w:tcPr>
            <w:tcW w:w="991" w:type="dxa"/>
            <w:vAlign w:val="bottom"/>
          </w:tcPr>
          <w:p w14:paraId="1F59FFBE" w14:textId="77777777" w:rsidR="00EB7417" w:rsidRPr="00FC6DDA" w:rsidRDefault="00EB7417" w:rsidP="00F25AA8">
            <w:pPr>
              <w:jc w:val="center"/>
            </w:pPr>
            <w:r w:rsidRPr="00FC6DDA">
              <w:t>1</w:t>
            </w:r>
            <w:r w:rsidRPr="00FC6DDA">
              <w:rPr>
                <w:lang w:val="en-US"/>
              </w:rPr>
              <w:t xml:space="preserve"> </w:t>
            </w:r>
            <w:r w:rsidRPr="00FC6DDA">
              <w:t>718</w:t>
            </w:r>
          </w:p>
        </w:tc>
        <w:tc>
          <w:tcPr>
            <w:tcW w:w="991" w:type="dxa"/>
            <w:vAlign w:val="bottom"/>
          </w:tcPr>
          <w:p w14:paraId="5AB4F1F7" w14:textId="77777777" w:rsidR="00EB7417" w:rsidRPr="00FC6DDA" w:rsidRDefault="00EB7417" w:rsidP="00F25AA8">
            <w:pPr>
              <w:jc w:val="center"/>
            </w:pPr>
            <w:r w:rsidRPr="00FC6DDA">
              <w:t>-</w:t>
            </w:r>
          </w:p>
        </w:tc>
      </w:tr>
      <w:tr w:rsidR="00EB7417" w:rsidRPr="00FC6DDA" w14:paraId="67C65D2C" w14:textId="77777777" w:rsidTr="00F25AA8">
        <w:tc>
          <w:tcPr>
            <w:tcW w:w="4675" w:type="dxa"/>
          </w:tcPr>
          <w:p w14:paraId="02033E15" w14:textId="64F3E8DC" w:rsidR="00EB7417" w:rsidRPr="00FC6DDA" w:rsidRDefault="00963274" w:rsidP="00F25AA8">
            <w:pPr>
              <w:jc w:val="center"/>
              <w:rPr>
                <w:lang w:val="en-US"/>
              </w:rPr>
            </w:pPr>
            <w:r w:rsidRPr="00FC6DDA">
              <w:rPr>
                <w:lang w:val="en-US"/>
              </w:rPr>
              <w:t>Aksu</w:t>
            </w:r>
          </w:p>
        </w:tc>
        <w:tc>
          <w:tcPr>
            <w:tcW w:w="990" w:type="dxa"/>
            <w:vAlign w:val="bottom"/>
          </w:tcPr>
          <w:p w14:paraId="5171665F" w14:textId="77777777" w:rsidR="00EB7417" w:rsidRPr="00FC6DDA" w:rsidRDefault="00EB7417" w:rsidP="00F25AA8">
            <w:pPr>
              <w:jc w:val="center"/>
            </w:pPr>
            <w:r w:rsidRPr="00FC6DDA">
              <w:t>338</w:t>
            </w:r>
          </w:p>
        </w:tc>
        <w:tc>
          <w:tcPr>
            <w:tcW w:w="991" w:type="dxa"/>
            <w:vAlign w:val="bottom"/>
          </w:tcPr>
          <w:p w14:paraId="067133F1" w14:textId="77777777" w:rsidR="00EB7417" w:rsidRPr="00FC6DDA" w:rsidRDefault="00EB7417" w:rsidP="00F25AA8">
            <w:pPr>
              <w:jc w:val="center"/>
            </w:pPr>
            <w:r w:rsidRPr="00FC6DDA">
              <w:t>362</w:t>
            </w:r>
          </w:p>
        </w:tc>
        <w:tc>
          <w:tcPr>
            <w:tcW w:w="990" w:type="dxa"/>
            <w:vAlign w:val="bottom"/>
          </w:tcPr>
          <w:p w14:paraId="3FE25E78" w14:textId="77777777" w:rsidR="00EB7417" w:rsidRPr="00FC6DDA" w:rsidRDefault="00EB7417" w:rsidP="00F25AA8">
            <w:pPr>
              <w:jc w:val="center"/>
            </w:pPr>
            <w:r w:rsidRPr="00FC6DDA">
              <w:t>330</w:t>
            </w:r>
          </w:p>
        </w:tc>
        <w:tc>
          <w:tcPr>
            <w:tcW w:w="991" w:type="dxa"/>
            <w:vAlign w:val="bottom"/>
          </w:tcPr>
          <w:p w14:paraId="6A4F0B17" w14:textId="77777777" w:rsidR="00EB7417" w:rsidRPr="00FC6DDA" w:rsidRDefault="00EB7417" w:rsidP="00F25AA8">
            <w:pPr>
              <w:jc w:val="center"/>
            </w:pPr>
            <w:r w:rsidRPr="00FC6DDA">
              <w:t>330</w:t>
            </w:r>
          </w:p>
        </w:tc>
        <w:tc>
          <w:tcPr>
            <w:tcW w:w="991" w:type="dxa"/>
            <w:vAlign w:val="bottom"/>
          </w:tcPr>
          <w:p w14:paraId="756967F7" w14:textId="77777777" w:rsidR="00EB7417" w:rsidRPr="00FC6DDA" w:rsidRDefault="00EB7417" w:rsidP="00F25AA8">
            <w:pPr>
              <w:jc w:val="center"/>
            </w:pPr>
            <w:r w:rsidRPr="00FC6DDA">
              <w:t>-</w:t>
            </w:r>
          </w:p>
        </w:tc>
      </w:tr>
      <w:tr w:rsidR="00EB7417" w:rsidRPr="00FC6DDA" w14:paraId="5099718B" w14:textId="77777777" w:rsidTr="00F25AA8">
        <w:tc>
          <w:tcPr>
            <w:tcW w:w="4675" w:type="dxa"/>
          </w:tcPr>
          <w:p w14:paraId="3FF1574C" w14:textId="48C86283" w:rsidR="00EB7417" w:rsidRPr="00FC6DDA" w:rsidRDefault="00963274" w:rsidP="00F25AA8">
            <w:pPr>
              <w:jc w:val="center"/>
              <w:rPr>
                <w:lang w:val="en-US"/>
              </w:rPr>
            </w:pPr>
            <w:r w:rsidRPr="00FC6DDA">
              <w:rPr>
                <w:lang w:val="en-US"/>
              </w:rPr>
              <w:t>Ekibastuz</w:t>
            </w:r>
          </w:p>
        </w:tc>
        <w:tc>
          <w:tcPr>
            <w:tcW w:w="990" w:type="dxa"/>
            <w:vAlign w:val="bottom"/>
          </w:tcPr>
          <w:p w14:paraId="28AED12F" w14:textId="77777777" w:rsidR="00EB7417" w:rsidRPr="00FC6DDA" w:rsidRDefault="00EB7417" w:rsidP="00F25AA8">
            <w:pPr>
              <w:jc w:val="center"/>
            </w:pPr>
            <w:r w:rsidRPr="00FC6DDA">
              <w:t>450</w:t>
            </w:r>
          </w:p>
        </w:tc>
        <w:tc>
          <w:tcPr>
            <w:tcW w:w="991" w:type="dxa"/>
            <w:vAlign w:val="bottom"/>
          </w:tcPr>
          <w:p w14:paraId="559BB1FE" w14:textId="77777777" w:rsidR="00EB7417" w:rsidRPr="00FC6DDA" w:rsidRDefault="00EB7417" w:rsidP="00F25AA8">
            <w:pPr>
              <w:jc w:val="center"/>
            </w:pPr>
            <w:r w:rsidRPr="00FC6DDA">
              <w:t>488</w:t>
            </w:r>
          </w:p>
        </w:tc>
        <w:tc>
          <w:tcPr>
            <w:tcW w:w="990" w:type="dxa"/>
            <w:vAlign w:val="bottom"/>
          </w:tcPr>
          <w:p w14:paraId="510846C6" w14:textId="77777777" w:rsidR="00EB7417" w:rsidRPr="00FC6DDA" w:rsidRDefault="00EB7417" w:rsidP="00F25AA8">
            <w:pPr>
              <w:jc w:val="center"/>
            </w:pPr>
            <w:r w:rsidRPr="00FC6DDA">
              <w:t>344</w:t>
            </w:r>
          </w:p>
        </w:tc>
        <w:tc>
          <w:tcPr>
            <w:tcW w:w="991" w:type="dxa"/>
            <w:vAlign w:val="bottom"/>
          </w:tcPr>
          <w:p w14:paraId="458FEA2E" w14:textId="77777777" w:rsidR="00EB7417" w:rsidRPr="00FC6DDA" w:rsidRDefault="00EB7417" w:rsidP="00F25AA8">
            <w:pPr>
              <w:jc w:val="center"/>
            </w:pPr>
            <w:r w:rsidRPr="00FC6DDA">
              <w:t>344</w:t>
            </w:r>
          </w:p>
        </w:tc>
        <w:tc>
          <w:tcPr>
            <w:tcW w:w="991" w:type="dxa"/>
            <w:vAlign w:val="bottom"/>
          </w:tcPr>
          <w:p w14:paraId="3D17AECB" w14:textId="77777777" w:rsidR="00EB7417" w:rsidRPr="00FC6DDA" w:rsidRDefault="00EB7417" w:rsidP="00F25AA8">
            <w:pPr>
              <w:jc w:val="center"/>
            </w:pPr>
            <w:r w:rsidRPr="00FC6DDA">
              <w:t>348</w:t>
            </w:r>
          </w:p>
        </w:tc>
      </w:tr>
      <w:tr w:rsidR="00EB7417" w:rsidRPr="00FC6DDA" w14:paraId="48BC80E8" w14:textId="77777777" w:rsidTr="00F25AA8">
        <w:tc>
          <w:tcPr>
            <w:tcW w:w="4675" w:type="dxa"/>
          </w:tcPr>
          <w:p w14:paraId="29A5CC7F" w14:textId="56219DD2" w:rsidR="00EB7417" w:rsidRPr="00FC6DDA" w:rsidRDefault="00963274" w:rsidP="00F25AA8">
            <w:pPr>
              <w:jc w:val="center"/>
              <w:rPr>
                <w:lang w:val="en-US"/>
              </w:rPr>
            </w:pPr>
            <w:r w:rsidRPr="00FC6DDA">
              <w:rPr>
                <w:lang w:val="en-US"/>
              </w:rPr>
              <w:t>Aktogay district</w:t>
            </w:r>
          </w:p>
        </w:tc>
        <w:tc>
          <w:tcPr>
            <w:tcW w:w="990" w:type="dxa"/>
            <w:vAlign w:val="bottom"/>
          </w:tcPr>
          <w:p w14:paraId="58A2E64C" w14:textId="77777777" w:rsidR="00EB7417" w:rsidRPr="00FC6DDA" w:rsidRDefault="00EB7417" w:rsidP="00F25AA8">
            <w:pPr>
              <w:jc w:val="center"/>
            </w:pPr>
            <w:r w:rsidRPr="00FC6DDA">
              <w:t>0</w:t>
            </w:r>
          </w:p>
        </w:tc>
        <w:tc>
          <w:tcPr>
            <w:tcW w:w="991" w:type="dxa"/>
            <w:vAlign w:val="bottom"/>
          </w:tcPr>
          <w:p w14:paraId="7C69DA5B" w14:textId="77777777" w:rsidR="00EB7417" w:rsidRPr="00FC6DDA" w:rsidRDefault="00EB7417" w:rsidP="00F25AA8">
            <w:pPr>
              <w:jc w:val="center"/>
            </w:pPr>
            <w:r w:rsidRPr="00FC6DDA">
              <w:t>6</w:t>
            </w:r>
          </w:p>
        </w:tc>
        <w:tc>
          <w:tcPr>
            <w:tcW w:w="990" w:type="dxa"/>
            <w:vAlign w:val="bottom"/>
          </w:tcPr>
          <w:p w14:paraId="03EAD2B8" w14:textId="77777777" w:rsidR="00EB7417" w:rsidRPr="00FC6DDA" w:rsidRDefault="00EB7417" w:rsidP="00F25AA8">
            <w:pPr>
              <w:jc w:val="center"/>
            </w:pPr>
            <w:r w:rsidRPr="00FC6DDA">
              <w:t>6</w:t>
            </w:r>
          </w:p>
        </w:tc>
        <w:tc>
          <w:tcPr>
            <w:tcW w:w="991" w:type="dxa"/>
            <w:vAlign w:val="bottom"/>
          </w:tcPr>
          <w:p w14:paraId="62A2817B" w14:textId="77777777" w:rsidR="00EB7417" w:rsidRPr="00FC6DDA" w:rsidRDefault="00EB7417" w:rsidP="00F25AA8">
            <w:pPr>
              <w:jc w:val="center"/>
            </w:pPr>
            <w:r w:rsidRPr="00FC6DDA">
              <w:t>14</w:t>
            </w:r>
          </w:p>
        </w:tc>
        <w:tc>
          <w:tcPr>
            <w:tcW w:w="991" w:type="dxa"/>
            <w:vAlign w:val="bottom"/>
          </w:tcPr>
          <w:p w14:paraId="0F4E4512" w14:textId="77777777" w:rsidR="00EB7417" w:rsidRPr="00FC6DDA" w:rsidRDefault="00EB7417" w:rsidP="00F25AA8">
            <w:pPr>
              <w:jc w:val="center"/>
            </w:pPr>
            <w:r w:rsidRPr="00FC6DDA">
              <w:t>14</w:t>
            </w:r>
          </w:p>
        </w:tc>
      </w:tr>
      <w:tr w:rsidR="00EB7417" w:rsidRPr="00FC6DDA" w14:paraId="2546589E" w14:textId="77777777" w:rsidTr="00F25AA8">
        <w:tc>
          <w:tcPr>
            <w:tcW w:w="4675" w:type="dxa"/>
          </w:tcPr>
          <w:p w14:paraId="02AA150F" w14:textId="694AF4D1" w:rsidR="00EB7417" w:rsidRPr="00FC6DDA" w:rsidRDefault="00963274" w:rsidP="00F25AA8">
            <w:pPr>
              <w:jc w:val="center"/>
              <w:rPr>
                <w:lang w:val="en-US"/>
              </w:rPr>
            </w:pPr>
            <w:r w:rsidRPr="00FC6DDA">
              <w:rPr>
                <w:lang w:val="en-US"/>
              </w:rPr>
              <w:t>Bayanayl district</w:t>
            </w:r>
          </w:p>
        </w:tc>
        <w:tc>
          <w:tcPr>
            <w:tcW w:w="990" w:type="dxa"/>
            <w:vAlign w:val="bottom"/>
          </w:tcPr>
          <w:p w14:paraId="51F68C95" w14:textId="77777777" w:rsidR="00EB7417" w:rsidRPr="00FC6DDA" w:rsidRDefault="00EB7417" w:rsidP="00F25AA8">
            <w:pPr>
              <w:jc w:val="center"/>
            </w:pPr>
            <w:r w:rsidRPr="00FC6DDA">
              <w:t>1</w:t>
            </w:r>
            <w:r w:rsidRPr="00FC6DDA">
              <w:rPr>
                <w:lang w:val="en-US"/>
              </w:rPr>
              <w:t xml:space="preserve"> </w:t>
            </w:r>
            <w:r w:rsidRPr="00FC6DDA">
              <w:t>676</w:t>
            </w:r>
          </w:p>
        </w:tc>
        <w:tc>
          <w:tcPr>
            <w:tcW w:w="991" w:type="dxa"/>
            <w:vAlign w:val="bottom"/>
          </w:tcPr>
          <w:p w14:paraId="7A7C0971" w14:textId="77777777" w:rsidR="00EB7417" w:rsidRPr="00FC6DDA" w:rsidRDefault="00EB7417" w:rsidP="00F25AA8">
            <w:pPr>
              <w:jc w:val="center"/>
            </w:pPr>
            <w:r w:rsidRPr="00FC6DDA">
              <w:t>2</w:t>
            </w:r>
            <w:r w:rsidRPr="00FC6DDA">
              <w:rPr>
                <w:lang w:val="en-US"/>
              </w:rPr>
              <w:t xml:space="preserve"> </w:t>
            </w:r>
            <w:r w:rsidRPr="00FC6DDA">
              <w:t>494</w:t>
            </w:r>
          </w:p>
        </w:tc>
        <w:tc>
          <w:tcPr>
            <w:tcW w:w="990" w:type="dxa"/>
            <w:vAlign w:val="bottom"/>
          </w:tcPr>
          <w:p w14:paraId="038338AE" w14:textId="77777777" w:rsidR="00EB7417" w:rsidRPr="00FC6DDA" w:rsidRDefault="00EB7417" w:rsidP="00F25AA8">
            <w:pPr>
              <w:jc w:val="center"/>
            </w:pPr>
            <w:r w:rsidRPr="00FC6DDA">
              <w:t>2</w:t>
            </w:r>
            <w:r w:rsidRPr="00FC6DDA">
              <w:rPr>
                <w:lang w:val="en-US"/>
              </w:rPr>
              <w:t xml:space="preserve"> </w:t>
            </w:r>
            <w:r w:rsidRPr="00FC6DDA">
              <w:t>520</w:t>
            </w:r>
          </w:p>
        </w:tc>
        <w:tc>
          <w:tcPr>
            <w:tcW w:w="991" w:type="dxa"/>
            <w:vAlign w:val="bottom"/>
          </w:tcPr>
          <w:p w14:paraId="5C220BCE" w14:textId="77777777" w:rsidR="00EB7417" w:rsidRPr="00FC6DDA" w:rsidRDefault="00EB7417" w:rsidP="00F25AA8">
            <w:pPr>
              <w:jc w:val="center"/>
            </w:pPr>
            <w:r w:rsidRPr="00FC6DDA">
              <w:t>-</w:t>
            </w:r>
          </w:p>
        </w:tc>
        <w:tc>
          <w:tcPr>
            <w:tcW w:w="991" w:type="dxa"/>
            <w:vAlign w:val="bottom"/>
          </w:tcPr>
          <w:p w14:paraId="212BB834" w14:textId="77777777" w:rsidR="00EB7417" w:rsidRPr="00FC6DDA" w:rsidRDefault="00EB7417" w:rsidP="00F25AA8">
            <w:pPr>
              <w:jc w:val="center"/>
            </w:pPr>
            <w:r w:rsidRPr="00FC6DDA">
              <w:t>2964</w:t>
            </w:r>
          </w:p>
        </w:tc>
      </w:tr>
      <w:tr w:rsidR="00EB7417" w:rsidRPr="00FC6DDA" w14:paraId="147BD293" w14:textId="77777777" w:rsidTr="00F25AA8">
        <w:tc>
          <w:tcPr>
            <w:tcW w:w="4675" w:type="dxa"/>
          </w:tcPr>
          <w:p w14:paraId="16C261F1" w14:textId="544DD4BE" w:rsidR="00EB7417" w:rsidRPr="00FC6DDA" w:rsidRDefault="00963274" w:rsidP="00F25AA8">
            <w:pPr>
              <w:jc w:val="center"/>
              <w:rPr>
                <w:lang w:val="en-US"/>
              </w:rPr>
            </w:pPr>
            <w:r w:rsidRPr="00FC6DDA">
              <w:rPr>
                <w:lang w:val="en-US"/>
              </w:rPr>
              <w:t>Zhelezinska district</w:t>
            </w:r>
          </w:p>
        </w:tc>
        <w:tc>
          <w:tcPr>
            <w:tcW w:w="990" w:type="dxa"/>
            <w:vAlign w:val="bottom"/>
          </w:tcPr>
          <w:p w14:paraId="3A342B66" w14:textId="77777777" w:rsidR="00EB7417" w:rsidRPr="00FC6DDA" w:rsidRDefault="00EB7417" w:rsidP="00F25AA8">
            <w:pPr>
              <w:jc w:val="center"/>
            </w:pPr>
            <w:r w:rsidRPr="00FC6DDA">
              <w:t>6</w:t>
            </w:r>
          </w:p>
        </w:tc>
        <w:tc>
          <w:tcPr>
            <w:tcW w:w="991" w:type="dxa"/>
            <w:vAlign w:val="bottom"/>
          </w:tcPr>
          <w:p w14:paraId="7E71C184" w14:textId="77777777" w:rsidR="00EB7417" w:rsidRPr="00FC6DDA" w:rsidRDefault="00EB7417" w:rsidP="00F25AA8">
            <w:pPr>
              <w:jc w:val="center"/>
            </w:pPr>
            <w:r w:rsidRPr="00FC6DDA">
              <w:t>8</w:t>
            </w:r>
          </w:p>
        </w:tc>
        <w:tc>
          <w:tcPr>
            <w:tcW w:w="990" w:type="dxa"/>
            <w:vAlign w:val="bottom"/>
          </w:tcPr>
          <w:p w14:paraId="6D19E082" w14:textId="77777777" w:rsidR="00EB7417" w:rsidRPr="00FC6DDA" w:rsidRDefault="00EB7417" w:rsidP="00F25AA8">
            <w:pPr>
              <w:jc w:val="center"/>
            </w:pPr>
            <w:r w:rsidRPr="00FC6DDA">
              <w:t>8</w:t>
            </w:r>
          </w:p>
        </w:tc>
        <w:tc>
          <w:tcPr>
            <w:tcW w:w="991" w:type="dxa"/>
            <w:vAlign w:val="bottom"/>
          </w:tcPr>
          <w:p w14:paraId="14C6C94D" w14:textId="77777777" w:rsidR="00EB7417" w:rsidRPr="00FC6DDA" w:rsidRDefault="00EB7417" w:rsidP="00F25AA8">
            <w:pPr>
              <w:jc w:val="center"/>
            </w:pPr>
            <w:r w:rsidRPr="00FC6DDA">
              <w:t>-</w:t>
            </w:r>
          </w:p>
        </w:tc>
        <w:tc>
          <w:tcPr>
            <w:tcW w:w="991" w:type="dxa"/>
            <w:vAlign w:val="bottom"/>
          </w:tcPr>
          <w:p w14:paraId="29253C02" w14:textId="77777777" w:rsidR="00EB7417" w:rsidRPr="00FC6DDA" w:rsidRDefault="00EB7417" w:rsidP="00F25AA8">
            <w:pPr>
              <w:jc w:val="center"/>
            </w:pPr>
            <w:r w:rsidRPr="00FC6DDA">
              <w:t>6</w:t>
            </w:r>
          </w:p>
        </w:tc>
      </w:tr>
      <w:tr w:rsidR="00EB7417" w:rsidRPr="00FC6DDA" w14:paraId="239212E0" w14:textId="77777777" w:rsidTr="00F25AA8">
        <w:tc>
          <w:tcPr>
            <w:tcW w:w="4675" w:type="dxa"/>
          </w:tcPr>
          <w:p w14:paraId="6D4A0D91" w14:textId="0D3FF42F" w:rsidR="00EB7417" w:rsidRPr="00FC6DDA" w:rsidRDefault="00963274" w:rsidP="00F25AA8">
            <w:pPr>
              <w:jc w:val="center"/>
              <w:rPr>
                <w:lang w:val="en-US"/>
              </w:rPr>
            </w:pPr>
            <w:r w:rsidRPr="00FC6DDA">
              <w:rPr>
                <w:lang w:val="en-US"/>
              </w:rPr>
              <w:t>Irtyshk district</w:t>
            </w:r>
          </w:p>
        </w:tc>
        <w:tc>
          <w:tcPr>
            <w:tcW w:w="990" w:type="dxa"/>
            <w:vAlign w:val="bottom"/>
          </w:tcPr>
          <w:p w14:paraId="4CF76E68" w14:textId="77777777" w:rsidR="00EB7417" w:rsidRPr="00FC6DDA" w:rsidRDefault="00EB7417" w:rsidP="00F25AA8">
            <w:pPr>
              <w:jc w:val="center"/>
            </w:pPr>
            <w:r w:rsidRPr="00FC6DDA">
              <w:t>24</w:t>
            </w:r>
          </w:p>
        </w:tc>
        <w:tc>
          <w:tcPr>
            <w:tcW w:w="991" w:type="dxa"/>
            <w:vAlign w:val="bottom"/>
          </w:tcPr>
          <w:p w14:paraId="4B537A00" w14:textId="77777777" w:rsidR="00EB7417" w:rsidRPr="00FC6DDA" w:rsidRDefault="00EB7417" w:rsidP="00F25AA8">
            <w:pPr>
              <w:jc w:val="center"/>
            </w:pPr>
            <w:r w:rsidRPr="00FC6DDA">
              <w:t>44</w:t>
            </w:r>
          </w:p>
        </w:tc>
        <w:tc>
          <w:tcPr>
            <w:tcW w:w="990" w:type="dxa"/>
            <w:vAlign w:val="bottom"/>
          </w:tcPr>
          <w:p w14:paraId="5C7C3341" w14:textId="77777777" w:rsidR="00EB7417" w:rsidRPr="00FC6DDA" w:rsidRDefault="00EB7417" w:rsidP="00F25AA8">
            <w:pPr>
              <w:jc w:val="center"/>
            </w:pPr>
            <w:r w:rsidRPr="00FC6DDA">
              <w:t>44</w:t>
            </w:r>
          </w:p>
        </w:tc>
        <w:tc>
          <w:tcPr>
            <w:tcW w:w="991" w:type="dxa"/>
            <w:vAlign w:val="bottom"/>
          </w:tcPr>
          <w:p w14:paraId="23C73BFA" w14:textId="77777777" w:rsidR="00EB7417" w:rsidRPr="00FC6DDA" w:rsidRDefault="00EB7417" w:rsidP="00F25AA8">
            <w:pPr>
              <w:jc w:val="center"/>
            </w:pPr>
            <w:r w:rsidRPr="00FC6DDA">
              <w:t>44</w:t>
            </w:r>
          </w:p>
        </w:tc>
        <w:tc>
          <w:tcPr>
            <w:tcW w:w="991" w:type="dxa"/>
            <w:vAlign w:val="bottom"/>
          </w:tcPr>
          <w:p w14:paraId="2D54A6DC" w14:textId="77777777" w:rsidR="00EB7417" w:rsidRPr="00FC6DDA" w:rsidRDefault="00EB7417" w:rsidP="00F25AA8">
            <w:pPr>
              <w:jc w:val="center"/>
            </w:pPr>
            <w:r w:rsidRPr="00FC6DDA">
              <w:t>68</w:t>
            </w:r>
          </w:p>
        </w:tc>
      </w:tr>
      <w:tr w:rsidR="00EB7417" w:rsidRPr="00FC6DDA" w14:paraId="0AB1C6A2" w14:textId="77777777" w:rsidTr="00F25AA8">
        <w:tc>
          <w:tcPr>
            <w:tcW w:w="4675" w:type="dxa"/>
          </w:tcPr>
          <w:p w14:paraId="35EAE3C2" w14:textId="3AF993A6" w:rsidR="00EB7417" w:rsidRPr="00FC6DDA" w:rsidRDefault="00963274" w:rsidP="00F25AA8">
            <w:pPr>
              <w:jc w:val="center"/>
              <w:rPr>
                <w:lang w:val="en-US"/>
              </w:rPr>
            </w:pPr>
            <w:r w:rsidRPr="00FC6DDA">
              <w:rPr>
                <w:lang w:val="en-US"/>
              </w:rPr>
              <w:t>Terenkol district</w:t>
            </w:r>
          </w:p>
        </w:tc>
        <w:tc>
          <w:tcPr>
            <w:tcW w:w="990" w:type="dxa"/>
            <w:vAlign w:val="bottom"/>
          </w:tcPr>
          <w:p w14:paraId="0F304ECA" w14:textId="77777777" w:rsidR="00EB7417" w:rsidRPr="00FC6DDA" w:rsidRDefault="00EB7417" w:rsidP="00F25AA8">
            <w:pPr>
              <w:jc w:val="center"/>
            </w:pPr>
            <w:r w:rsidRPr="00FC6DDA">
              <w:t>-</w:t>
            </w:r>
          </w:p>
        </w:tc>
        <w:tc>
          <w:tcPr>
            <w:tcW w:w="991" w:type="dxa"/>
            <w:vAlign w:val="bottom"/>
          </w:tcPr>
          <w:p w14:paraId="4B4B4F88" w14:textId="77777777" w:rsidR="00EB7417" w:rsidRPr="00FC6DDA" w:rsidRDefault="00EB7417" w:rsidP="00F25AA8">
            <w:pPr>
              <w:jc w:val="center"/>
            </w:pPr>
            <w:r w:rsidRPr="00FC6DDA">
              <w:t>0</w:t>
            </w:r>
          </w:p>
        </w:tc>
        <w:tc>
          <w:tcPr>
            <w:tcW w:w="990" w:type="dxa"/>
            <w:vAlign w:val="bottom"/>
          </w:tcPr>
          <w:p w14:paraId="2336FE6F" w14:textId="77777777" w:rsidR="00EB7417" w:rsidRPr="00FC6DDA" w:rsidRDefault="00EB7417" w:rsidP="00F25AA8">
            <w:pPr>
              <w:jc w:val="center"/>
            </w:pPr>
            <w:r w:rsidRPr="00FC6DDA">
              <w:t>0</w:t>
            </w:r>
          </w:p>
        </w:tc>
        <w:tc>
          <w:tcPr>
            <w:tcW w:w="991" w:type="dxa"/>
            <w:vAlign w:val="bottom"/>
          </w:tcPr>
          <w:p w14:paraId="0FCB9CA1" w14:textId="77777777" w:rsidR="00EB7417" w:rsidRPr="00FC6DDA" w:rsidRDefault="00EB7417" w:rsidP="00F25AA8">
            <w:pPr>
              <w:jc w:val="center"/>
            </w:pPr>
            <w:r w:rsidRPr="00FC6DDA">
              <w:t>14</w:t>
            </w:r>
          </w:p>
        </w:tc>
        <w:tc>
          <w:tcPr>
            <w:tcW w:w="991" w:type="dxa"/>
            <w:vAlign w:val="bottom"/>
          </w:tcPr>
          <w:p w14:paraId="114477BA" w14:textId="77777777" w:rsidR="00EB7417" w:rsidRPr="00FC6DDA" w:rsidRDefault="00EB7417" w:rsidP="00F25AA8">
            <w:pPr>
              <w:jc w:val="center"/>
            </w:pPr>
            <w:r w:rsidRPr="00FC6DDA">
              <w:t>44</w:t>
            </w:r>
          </w:p>
        </w:tc>
      </w:tr>
      <w:tr w:rsidR="00EB7417" w:rsidRPr="00FC6DDA" w14:paraId="040BE928" w14:textId="77777777" w:rsidTr="00F25AA8">
        <w:tc>
          <w:tcPr>
            <w:tcW w:w="4675" w:type="dxa"/>
          </w:tcPr>
          <w:p w14:paraId="611DE0D5" w14:textId="3B4134C0" w:rsidR="00EB7417" w:rsidRPr="00FC6DDA" w:rsidRDefault="00963274" w:rsidP="00F25AA8">
            <w:pPr>
              <w:jc w:val="center"/>
              <w:rPr>
                <w:lang w:val="en-US"/>
              </w:rPr>
            </w:pPr>
            <w:r w:rsidRPr="00FC6DDA">
              <w:rPr>
                <w:lang w:val="en-US"/>
              </w:rPr>
              <w:t>Akkuly district</w:t>
            </w:r>
          </w:p>
        </w:tc>
        <w:tc>
          <w:tcPr>
            <w:tcW w:w="990" w:type="dxa"/>
            <w:vAlign w:val="bottom"/>
          </w:tcPr>
          <w:p w14:paraId="52473D1F" w14:textId="77777777" w:rsidR="00EB7417" w:rsidRPr="00FC6DDA" w:rsidRDefault="00EB7417" w:rsidP="00F25AA8">
            <w:pPr>
              <w:jc w:val="center"/>
            </w:pPr>
            <w:r w:rsidRPr="00FC6DDA">
              <w:t>-</w:t>
            </w:r>
          </w:p>
        </w:tc>
        <w:tc>
          <w:tcPr>
            <w:tcW w:w="991" w:type="dxa"/>
            <w:vAlign w:val="bottom"/>
          </w:tcPr>
          <w:p w14:paraId="12009DC4" w14:textId="77777777" w:rsidR="00EB7417" w:rsidRPr="00FC6DDA" w:rsidRDefault="00EB7417" w:rsidP="00F25AA8">
            <w:pPr>
              <w:jc w:val="center"/>
            </w:pPr>
            <w:r w:rsidRPr="00FC6DDA">
              <w:t>10</w:t>
            </w:r>
          </w:p>
        </w:tc>
        <w:tc>
          <w:tcPr>
            <w:tcW w:w="990" w:type="dxa"/>
            <w:vAlign w:val="bottom"/>
          </w:tcPr>
          <w:p w14:paraId="3CB110F7" w14:textId="77777777" w:rsidR="00EB7417" w:rsidRPr="00FC6DDA" w:rsidRDefault="00EB7417" w:rsidP="00F25AA8">
            <w:pPr>
              <w:jc w:val="center"/>
            </w:pPr>
            <w:r w:rsidRPr="00FC6DDA">
              <w:t>0</w:t>
            </w:r>
          </w:p>
        </w:tc>
        <w:tc>
          <w:tcPr>
            <w:tcW w:w="991" w:type="dxa"/>
            <w:vAlign w:val="bottom"/>
          </w:tcPr>
          <w:p w14:paraId="6FE4A660" w14:textId="77777777" w:rsidR="00EB7417" w:rsidRPr="00FC6DDA" w:rsidRDefault="00EB7417" w:rsidP="00F25AA8">
            <w:pPr>
              <w:jc w:val="center"/>
            </w:pPr>
            <w:r w:rsidRPr="00FC6DDA">
              <w:t>0</w:t>
            </w:r>
          </w:p>
        </w:tc>
        <w:tc>
          <w:tcPr>
            <w:tcW w:w="991" w:type="dxa"/>
            <w:vAlign w:val="bottom"/>
          </w:tcPr>
          <w:p w14:paraId="31CF9821" w14:textId="77777777" w:rsidR="00EB7417" w:rsidRPr="00FC6DDA" w:rsidRDefault="00EB7417" w:rsidP="00F25AA8">
            <w:pPr>
              <w:jc w:val="center"/>
            </w:pPr>
            <w:r w:rsidRPr="00FC6DDA">
              <w:t>-</w:t>
            </w:r>
          </w:p>
        </w:tc>
      </w:tr>
      <w:tr w:rsidR="00EB7417" w:rsidRPr="00FC6DDA" w14:paraId="604E712C" w14:textId="77777777" w:rsidTr="00F25AA8">
        <w:tc>
          <w:tcPr>
            <w:tcW w:w="4675" w:type="dxa"/>
          </w:tcPr>
          <w:p w14:paraId="57FC5BBA" w14:textId="6A69241C" w:rsidR="00EB7417" w:rsidRPr="00FC6DDA" w:rsidRDefault="00963274" w:rsidP="00F25AA8">
            <w:pPr>
              <w:jc w:val="center"/>
              <w:rPr>
                <w:lang w:val="en-US"/>
              </w:rPr>
            </w:pPr>
            <w:r w:rsidRPr="00FC6DDA">
              <w:rPr>
                <w:lang w:val="en-US"/>
              </w:rPr>
              <w:t>Maiskiy district</w:t>
            </w:r>
          </w:p>
        </w:tc>
        <w:tc>
          <w:tcPr>
            <w:tcW w:w="990" w:type="dxa"/>
            <w:vAlign w:val="bottom"/>
          </w:tcPr>
          <w:p w14:paraId="0757D141" w14:textId="77777777" w:rsidR="00EB7417" w:rsidRPr="00FC6DDA" w:rsidRDefault="00EB7417" w:rsidP="00F25AA8">
            <w:pPr>
              <w:jc w:val="center"/>
            </w:pPr>
            <w:r w:rsidRPr="00FC6DDA">
              <w:t>-</w:t>
            </w:r>
          </w:p>
        </w:tc>
        <w:tc>
          <w:tcPr>
            <w:tcW w:w="991" w:type="dxa"/>
            <w:vAlign w:val="bottom"/>
          </w:tcPr>
          <w:p w14:paraId="4F03668E" w14:textId="77777777" w:rsidR="00EB7417" w:rsidRPr="00FC6DDA" w:rsidRDefault="00EB7417" w:rsidP="00F25AA8">
            <w:pPr>
              <w:jc w:val="center"/>
            </w:pPr>
            <w:r w:rsidRPr="00FC6DDA">
              <w:t>2</w:t>
            </w:r>
          </w:p>
        </w:tc>
        <w:tc>
          <w:tcPr>
            <w:tcW w:w="990" w:type="dxa"/>
            <w:vAlign w:val="bottom"/>
          </w:tcPr>
          <w:p w14:paraId="50823B6A" w14:textId="77777777" w:rsidR="00EB7417" w:rsidRPr="00FC6DDA" w:rsidRDefault="00EB7417" w:rsidP="00F25AA8">
            <w:pPr>
              <w:jc w:val="center"/>
            </w:pPr>
            <w:r w:rsidRPr="00FC6DDA">
              <w:t>2</w:t>
            </w:r>
          </w:p>
        </w:tc>
        <w:tc>
          <w:tcPr>
            <w:tcW w:w="991" w:type="dxa"/>
            <w:vAlign w:val="bottom"/>
          </w:tcPr>
          <w:p w14:paraId="2F2E2594" w14:textId="77777777" w:rsidR="00EB7417" w:rsidRPr="00FC6DDA" w:rsidRDefault="00EB7417" w:rsidP="00F25AA8">
            <w:pPr>
              <w:jc w:val="center"/>
            </w:pPr>
            <w:r w:rsidRPr="00FC6DDA">
              <w:t>0</w:t>
            </w:r>
          </w:p>
        </w:tc>
        <w:tc>
          <w:tcPr>
            <w:tcW w:w="991" w:type="dxa"/>
            <w:vAlign w:val="bottom"/>
          </w:tcPr>
          <w:p w14:paraId="186470F7" w14:textId="77777777" w:rsidR="00EB7417" w:rsidRPr="00FC6DDA" w:rsidRDefault="00EB7417" w:rsidP="00F25AA8">
            <w:pPr>
              <w:jc w:val="center"/>
            </w:pPr>
            <w:r w:rsidRPr="00FC6DDA">
              <w:t>-</w:t>
            </w:r>
          </w:p>
        </w:tc>
      </w:tr>
      <w:tr w:rsidR="00EB7417" w:rsidRPr="00FC6DDA" w14:paraId="08DCD688" w14:textId="77777777" w:rsidTr="00F25AA8">
        <w:tc>
          <w:tcPr>
            <w:tcW w:w="4675" w:type="dxa"/>
          </w:tcPr>
          <w:p w14:paraId="3C587CBA" w14:textId="7E6AEEA6" w:rsidR="00EB7417" w:rsidRPr="00FC6DDA" w:rsidRDefault="00963274" w:rsidP="00F25AA8">
            <w:pPr>
              <w:jc w:val="center"/>
              <w:rPr>
                <w:lang w:val="en-US"/>
              </w:rPr>
            </w:pPr>
            <w:r w:rsidRPr="00FC6DDA">
              <w:rPr>
                <w:lang w:val="en-US"/>
              </w:rPr>
              <w:t>Pavlodar district</w:t>
            </w:r>
          </w:p>
        </w:tc>
        <w:tc>
          <w:tcPr>
            <w:tcW w:w="990" w:type="dxa"/>
            <w:vAlign w:val="bottom"/>
          </w:tcPr>
          <w:p w14:paraId="29B5B9F2" w14:textId="77777777" w:rsidR="00EB7417" w:rsidRPr="00FC6DDA" w:rsidRDefault="00EB7417" w:rsidP="00F25AA8">
            <w:pPr>
              <w:jc w:val="center"/>
            </w:pPr>
            <w:r w:rsidRPr="00FC6DDA">
              <w:t>254</w:t>
            </w:r>
          </w:p>
        </w:tc>
        <w:tc>
          <w:tcPr>
            <w:tcW w:w="991" w:type="dxa"/>
            <w:vAlign w:val="bottom"/>
          </w:tcPr>
          <w:p w14:paraId="3BAB529B" w14:textId="77777777" w:rsidR="00EB7417" w:rsidRPr="00FC6DDA" w:rsidRDefault="00EB7417" w:rsidP="00F25AA8">
            <w:pPr>
              <w:jc w:val="center"/>
            </w:pPr>
            <w:r w:rsidRPr="00FC6DDA">
              <w:t>198</w:t>
            </w:r>
          </w:p>
        </w:tc>
        <w:tc>
          <w:tcPr>
            <w:tcW w:w="990" w:type="dxa"/>
            <w:vAlign w:val="bottom"/>
          </w:tcPr>
          <w:p w14:paraId="368CC80B" w14:textId="77777777" w:rsidR="00EB7417" w:rsidRPr="00FC6DDA" w:rsidRDefault="00EB7417" w:rsidP="00F25AA8">
            <w:pPr>
              <w:jc w:val="center"/>
            </w:pPr>
            <w:r w:rsidRPr="00FC6DDA">
              <w:t>198</w:t>
            </w:r>
          </w:p>
        </w:tc>
        <w:tc>
          <w:tcPr>
            <w:tcW w:w="991" w:type="dxa"/>
            <w:vAlign w:val="bottom"/>
          </w:tcPr>
          <w:p w14:paraId="51E32FA0" w14:textId="77777777" w:rsidR="00EB7417" w:rsidRPr="00FC6DDA" w:rsidRDefault="00EB7417" w:rsidP="00F25AA8">
            <w:pPr>
              <w:jc w:val="center"/>
            </w:pPr>
            <w:r w:rsidRPr="00FC6DDA">
              <w:t>198</w:t>
            </w:r>
          </w:p>
        </w:tc>
        <w:tc>
          <w:tcPr>
            <w:tcW w:w="991" w:type="dxa"/>
            <w:vAlign w:val="bottom"/>
          </w:tcPr>
          <w:p w14:paraId="13A700F8" w14:textId="77777777" w:rsidR="00EB7417" w:rsidRPr="00FC6DDA" w:rsidRDefault="00EB7417" w:rsidP="00F25AA8">
            <w:pPr>
              <w:jc w:val="center"/>
            </w:pPr>
            <w:r w:rsidRPr="00FC6DDA">
              <w:t>-</w:t>
            </w:r>
          </w:p>
        </w:tc>
      </w:tr>
      <w:tr w:rsidR="00EB7417" w:rsidRPr="00FC6DDA" w14:paraId="57ACE99C" w14:textId="77777777" w:rsidTr="00F25AA8">
        <w:tc>
          <w:tcPr>
            <w:tcW w:w="4675" w:type="dxa"/>
          </w:tcPr>
          <w:p w14:paraId="1B1EC7DF" w14:textId="62A439D9" w:rsidR="00EB7417" w:rsidRPr="00FC6DDA" w:rsidRDefault="00963274" w:rsidP="00F25AA8">
            <w:pPr>
              <w:jc w:val="center"/>
              <w:rPr>
                <w:lang w:val="en-US"/>
              </w:rPr>
            </w:pPr>
            <w:r w:rsidRPr="00FC6DDA">
              <w:rPr>
                <w:lang w:val="en-US"/>
              </w:rPr>
              <w:t>Sherbakty district</w:t>
            </w:r>
          </w:p>
        </w:tc>
        <w:tc>
          <w:tcPr>
            <w:tcW w:w="990" w:type="dxa"/>
            <w:vAlign w:val="bottom"/>
          </w:tcPr>
          <w:p w14:paraId="06E66CCA" w14:textId="77777777" w:rsidR="00EB7417" w:rsidRPr="00FC6DDA" w:rsidRDefault="00EB7417" w:rsidP="00F25AA8">
            <w:pPr>
              <w:jc w:val="center"/>
            </w:pPr>
            <w:r w:rsidRPr="00FC6DDA">
              <w:t>192</w:t>
            </w:r>
          </w:p>
        </w:tc>
        <w:tc>
          <w:tcPr>
            <w:tcW w:w="991" w:type="dxa"/>
            <w:vAlign w:val="bottom"/>
          </w:tcPr>
          <w:p w14:paraId="50E82C64" w14:textId="77777777" w:rsidR="00EB7417" w:rsidRPr="00FC6DDA" w:rsidRDefault="00EB7417" w:rsidP="00F25AA8">
            <w:pPr>
              <w:jc w:val="center"/>
            </w:pPr>
            <w:r w:rsidRPr="00FC6DDA">
              <w:t>192</w:t>
            </w:r>
          </w:p>
        </w:tc>
        <w:tc>
          <w:tcPr>
            <w:tcW w:w="990" w:type="dxa"/>
            <w:vAlign w:val="bottom"/>
          </w:tcPr>
          <w:p w14:paraId="75FBDC34" w14:textId="77777777" w:rsidR="00EB7417" w:rsidRPr="00FC6DDA" w:rsidRDefault="00EB7417" w:rsidP="00F25AA8">
            <w:pPr>
              <w:jc w:val="center"/>
            </w:pPr>
            <w:r w:rsidRPr="00FC6DDA">
              <w:t>192</w:t>
            </w:r>
          </w:p>
        </w:tc>
        <w:tc>
          <w:tcPr>
            <w:tcW w:w="991" w:type="dxa"/>
            <w:vAlign w:val="bottom"/>
          </w:tcPr>
          <w:p w14:paraId="5A3BBBF6" w14:textId="77777777" w:rsidR="00EB7417" w:rsidRPr="00FC6DDA" w:rsidRDefault="00EB7417" w:rsidP="00F25AA8">
            <w:pPr>
              <w:jc w:val="center"/>
            </w:pPr>
            <w:r w:rsidRPr="00FC6DDA">
              <w:t>202</w:t>
            </w:r>
          </w:p>
        </w:tc>
        <w:tc>
          <w:tcPr>
            <w:tcW w:w="991" w:type="dxa"/>
            <w:vAlign w:val="bottom"/>
          </w:tcPr>
          <w:p w14:paraId="40A6BCFC" w14:textId="77777777" w:rsidR="00EB7417" w:rsidRPr="00FC6DDA" w:rsidRDefault="00EB7417" w:rsidP="00F25AA8">
            <w:pPr>
              <w:jc w:val="center"/>
            </w:pPr>
            <w:r w:rsidRPr="00FC6DDA">
              <w:t>210</w:t>
            </w:r>
          </w:p>
        </w:tc>
      </w:tr>
    </w:tbl>
    <w:p w14:paraId="4F038361" w14:textId="7278ABC5" w:rsidR="00EB7417" w:rsidRPr="00FC6DDA" w:rsidRDefault="008850F3" w:rsidP="00EB7417">
      <w:pPr>
        <w:rPr>
          <w:sz w:val="20"/>
          <w:szCs w:val="20"/>
          <w:lang w:val="en-US"/>
        </w:rPr>
      </w:pPr>
      <w:r w:rsidRPr="00FC6DDA">
        <w:rPr>
          <w:sz w:val="20"/>
          <w:szCs w:val="20"/>
          <w:lang w:val="en-US"/>
        </w:rPr>
        <w:t xml:space="preserve">Note – In </w:t>
      </w:r>
      <w:r w:rsidR="00963274" w:rsidRPr="00FC6DDA">
        <w:rPr>
          <w:sz w:val="20"/>
          <w:szCs w:val="20"/>
          <w:lang w:val="en-US"/>
        </w:rPr>
        <w:t>accordance with sources</w:t>
      </w:r>
      <w:r w:rsidR="00EB7417" w:rsidRPr="00FC6DDA">
        <w:rPr>
          <w:sz w:val="20"/>
          <w:szCs w:val="20"/>
          <w:lang w:val="en-US"/>
        </w:rPr>
        <w:t xml:space="preserve"> [</w:t>
      </w:r>
      <w:r w:rsidR="00BC126D" w:rsidRPr="00FC6DDA">
        <w:rPr>
          <w:sz w:val="20"/>
          <w:szCs w:val="20"/>
          <w:lang w:val="en-US"/>
        </w:rPr>
        <w:t>1</w:t>
      </w:r>
      <w:r w:rsidR="00E070BA" w:rsidRPr="00FC6DDA">
        <w:rPr>
          <w:sz w:val="20"/>
          <w:szCs w:val="20"/>
          <w:lang w:val="en-US"/>
        </w:rPr>
        <w:t>4</w:t>
      </w:r>
      <w:r w:rsidR="00EB7417" w:rsidRPr="00FC6DDA">
        <w:rPr>
          <w:sz w:val="20"/>
          <w:szCs w:val="20"/>
          <w:lang w:val="en-US"/>
        </w:rPr>
        <w:t xml:space="preserve"> - 1</w:t>
      </w:r>
      <w:r w:rsidR="00E070BA" w:rsidRPr="00FC6DDA">
        <w:rPr>
          <w:sz w:val="20"/>
          <w:szCs w:val="20"/>
          <w:lang w:val="en-US"/>
        </w:rPr>
        <w:t>8</w:t>
      </w:r>
      <w:r w:rsidR="00EB7417" w:rsidRPr="00FC6DDA">
        <w:rPr>
          <w:sz w:val="20"/>
          <w:szCs w:val="20"/>
          <w:lang w:val="en-US"/>
        </w:rPr>
        <w:t>]</w:t>
      </w:r>
    </w:p>
    <w:p w14:paraId="4A7B1331" w14:textId="77777777" w:rsidR="00FC6DDA" w:rsidRPr="00FC6DDA" w:rsidRDefault="00FC6DDA" w:rsidP="00963274">
      <w:pPr>
        <w:widowControl w:val="0"/>
        <w:ind w:firstLine="567"/>
        <w:jc w:val="both"/>
        <w:rPr>
          <w:lang w:val="en-US"/>
        </w:rPr>
      </w:pPr>
    </w:p>
    <w:p w14:paraId="71A95FF0" w14:textId="77777777" w:rsidR="00963274" w:rsidRPr="00FC6DDA" w:rsidRDefault="00963274" w:rsidP="00963274">
      <w:pPr>
        <w:widowControl w:val="0"/>
        <w:ind w:firstLine="567"/>
        <w:jc w:val="both"/>
        <w:rPr>
          <w:lang w:val="en-US"/>
        </w:rPr>
      </w:pPr>
      <w:r w:rsidRPr="00FC6DDA">
        <w:rPr>
          <w:lang w:val="en-US"/>
        </w:rPr>
        <w:t>The maximum production capacity of tourist activities for the simultaneous accommodation of guests falls on the city of Pavlodar and the Bayanaul region.</w:t>
      </w:r>
    </w:p>
    <w:p w14:paraId="081DA3FD" w14:textId="5612C2D5" w:rsidR="00EB7417" w:rsidRPr="00FC6DDA" w:rsidRDefault="00963274" w:rsidP="00963274">
      <w:pPr>
        <w:widowControl w:val="0"/>
        <w:ind w:firstLine="567"/>
        <w:jc w:val="both"/>
        <w:rPr>
          <w:lang w:val="en-US"/>
        </w:rPr>
      </w:pPr>
      <w:r w:rsidRPr="00FC6DDA">
        <w:rPr>
          <w:lang w:val="en-US"/>
        </w:rPr>
        <w:t>In Pavlodar region, there is a positive trend in the level of capitalization of the tourism industry. As of 2019, the value of fixed assets in the tourism sector is 24</w:t>
      </w:r>
      <w:r w:rsidR="00E070BA" w:rsidRPr="00FC6DDA">
        <w:rPr>
          <w:lang w:val="en-US"/>
        </w:rPr>
        <w:t>,</w:t>
      </w:r>
      <w:r w:rsidRPr="00FC6DDA">
        <w:rPr>
          <w:lang w:val="en-US"/>
        </w:rPr>
        <w:t>9 billion tenge. At the same time, there are growing trends in the wear of fixed assets. As of 2019, the degree of depreciation of fixed assets in the tourism industry was 46.2% (</w:t>
      </w:r>
      <w:r w:rsidR="008850F3" w:rsidRPr="00FC6DDA">
        <w:rPr>
          <w:lang w:val="en-US"/>
        </w:rPr>
        <w:t>T</w:t>
      </w:r>
      <w:r w:rsidRPr="00FC6DDA">
        <w:rPr>
          <w:lang w:val="en-US"/>
        </w:rPr>
        <w:t>able 7)</w:t>
      </w:r>
      <w:r w:rsidR="00EB7417" w:rsidRPr="00FC6DDA">
        <w:rPr>
          <w:lang w:val="en-US"/>
        </w:rPr>
        <w:t>.</w:t>
      </w:r>
    </w:p>
    <w:p w14:paraId="0D9B5985" w14:textId="77777777" w:rsidR="00C33ABB" w:rsidRPr="00FC6DDA" w:rsidRDefault="00C33ABB" w:rsidP="00DB05EB">
      <w:pPr>
        <w:ind w:firstLine="567"/>
        <w:jc w:val="both"/>
        <w:rPr>
          <w:b/>
          <w:bCs/>
          <w:lang w:val="en-US"/>
        </w:rPr>
      </w:pPr>
    </w:p>
    <w:p w14:paraId="30097C6D" w14:textId="1314C8C2" w:rsidR="00EB7417" w:rsidRPr="00FC6DDA" w:rsidRDefault="00963274" w:rsidP="00EB7417">
      <w:pPr>
        <w:rPr>
          <w:lang w:val="en-US"/>
        </w:rPr>
      </w:pPr>
      <w:r w:rsidRPr="00FC6DDA">
        <w:rPr>
          <w:lang w:val="en-US"/>
        </w:rPr>
        <w:t xml:space="preserve">Table 7 </w:t>
      </w:r>
      <w:r w:rsidR="00A55CD2" w:rsidRPr="00FC6DDA">
        <w:rPr>
          <w:lang w:val="en-US"/>
        </w:rPr>
        <w:t>–</w:t>
      </w:r>
      <w:r w:rsidRPr="00FC6DDA">
        <w:rPr>
          <w:lang w:val="en-US"/>
        </w:rPr>
        <w:t xml:space="preserve"> Dynamics of the state of fixed capital of the tourism industry</w:t>
      </w:r>
    </w:p>
    <w:tbl>
      <w:tblPr>
        <w:tblStyle w:val="TableGrid"/>
        <w:tblW w:w="0" w:type="auto"/>
        <w:tblLook w:val="04A0" w:firstRow="1" w:lastRow="0" w:firstColumn="1" w:lastColumn="0" w:noHBand="0" w:noVBand="1"/>
      </w:tblPr>
      <w:tblGrid>
        <w:gridCol w:w="4315"/>
        <w:gridCol w:w="1062"/>
        <w:gridCol w:w="1063"/>
        <w:gridCol w:w="1062"/>
        <w:gridCol w:w="1063"/>
        <w:gridCol w:w="1063"/>
      </w:tblGrid>
      <w:tr w:rsidR="00EB7417" w:rsidRPr="00FC6DDA" w14:paraId="50057A84" w14:textId="77777777" w:rsidTr="00EB7417">
        <w:tc>
          <w:tcPr>
            <w:tcW w:w="4315" w:type="dxa"/>
            <w:vMerge w:val="restart"/>
          </w:tcPr>
          <w:p w14:paraId="76F720E9" w14:textId="776FE865" w:rsidR="00EB7417" w:rsidRPr="00FC6DDA" w:rsidRDefault="00963274" w:rsidP="00F25AA8">
            <w:pPr>
              <w:jc w:val="center"/>
              <w:rPr>
                <w:lang w:val="en-US"/>
              </w:rPr>
            </w:pPr>
            <w:r w:rsidRPr="00FC6DDA">
              <w:rPr>
                <w:lang w:val="en-US"/>
              </w:rPr>
              <w:t>Index</w:t>
            </w:r>
          </w:p>
        </w:tc>
        <w:tc>
          <w:tcPr>
            <w:tcW w:w="5313" w:type="dxa"/>
            <w:gridSpan w:val="5"/>
          </w:tcPr>
          <w:p w14:paraId="01B67725" w14:textId="732E16FC" w:rsidR="00EB7417" w:rsidRPr="00FC6DDA" w:rsidRDefault="00FC6DDA" w:rsidP="00F25AA8">
            <w:pPr>
              <w:jc w:val="center"/>
              <w:rPr>
                <w:lang w:val="en-US"/>
              </w:rPr>
            </w:pPr>
            <w:r w:rsidRPr="00FC6DDA">
              <w:rPr>
                <w:lang w:val="en-US"/>
              </w:rPr>
              <w:t>Year</w:t>
            </w:r>
          </w:p>
        </w:tc>
      </w:tr>
      <w:tr w:rsidR="00EB7417" w:rsidRPr="00FC6DDA" w14:paraId="5EA25658" w14:textId="77777777" w:rsidTr="00EB7417">
        <w:tc>
          <w:tcPr>
            <w:tcW w:w="4315" w:type="dxa"/>
            <w:vMerge/>
          </w:tcPr>
          <w:p w14:paraId="7D39FD02" w14:textId="77777777" w:rsidR="00EB7417" w:rsidRPr="00FC6DDA" w:rsidRDefault="00EB7417" w:rsidP="00F25AA8">
            <w:pPr>
              <w:jc w:val="center"/>
            </w:pPr>
          </w:p>
        </w:tc>
        <w:tc>
          <w:tcPr>
            <w:tcW w:w="1062" w:type="dxa"/>
          </w:tcPr>
          <w:p w14:paraId="34AC2B84" w14:textId="77777777" w:rsidR="00EB7417" w:rsidRPr="00FC6DDA" w:rsidRDefault="00EB7417" w:rsidP="00F25AA8">
            <w:pPr>
              <w:jc w:val="center"/>
            </w:pPr>
            <w:r w:rsidRPr="00FC6DDA">
              <w:t>2015</w:t>
            </w:r>
          </w:p>
        </w:tc>
        <w:tc>
          <w:tcPr>
            <w:tcW w:w="1063" w:type="dxa"/>
          </w:tcPr>
          <w:p w14:paraId="4C0E2F1C" w14:textId="77777777" w:rsidR="00EB7417" w:rsidRPr="00FC6DDA" w:rsidRDefault="00EB7417" w:rsidP="00F25AA8">
            <w:pPr>
              <w:jc w:val="center"/>
            </w:pPr>
            <w:r w:rsidRPr="00FC6DDA">
              <w:t>2016</w:t>
            </w:r>
          </w:p>
        </w:tc>
        <w:tc>
          <w:tcPr>
            <w:tcW w:w="1062" w:type="dxa"/>
          </w:tcPr>
          <w:p w14:paraId="57321BF0" w14:textId="77777777" w:rsidR="00EB7417" w:rsidRPr="00FC6DDA" w:rsidRDefault="00EB7417" w:rsidP="00F25AA8">
            <w:pPr>
              <w:jc w:val="center"/>
            </w:pPr>
            <w:r w:rsidRPr="00FC6DDA">
              <w:t>2017</w:t>
            </w:r>
          </w:p>
        </w:tc>
        <w:tc>
          <w:tcPr>
            <w:tcW w:w="1063" w:type="dxa"/>
          </w:tcPr>
          <w:p w14:paraId="3866AD11" w14:textId="77777777" w:rsidR="00EB7417" w:rsidRPr="00FC6DDA" w:rsidRDefault="00EB7417" w:rsidP="00F25AA8">
            <w:pPr>
              <w:jc w:val="center"/>
            </w:pPr>
            <w:r w:rsidRPr="00FC6DDA">
              <w:t>2018</w:t>
            </w:r>
          </w:p>
        </w:tc>
        <w:tc>
          <w:tcPr>
            <w:tcW w:w="1063" w:type="dxa"/>
          </w:tcPr>
          <w:p w14:paraId="560A27B6" w14:textId="77777777" w:rsidR="00EB7417" w:rsidRPr="00FC6DDA" w:rsidRDefault="00EB7417" w:rsidP="00F25AA8">
            <w:pPr>
              <w:jc w:val="center"/>
            </w:pPr>
            <w:r w:rsidRPr="00FC6DDA">
              <w:t>2019</w:t>
            </w:r>
          </w:p>
        </w:tc>
      </w:tr>
      <w:tr w:rsidR="00EB7417" w:rsidRPr="00FC6DDA" w14:paraId="7B365A8E" w14:textId="77777777" w:rsidTr="00EB7417">
        <w:tc>
          <w:tcPr>
            <w:tcW w:w="4315" w:type="dxa"/>
          </w:tcPr>
          <w:p w14:paraId="14D75705" w14:textId="1578D31A" w:rsidR="00EB7417" w:rsidRPr="00FC6DDA" w:rsidRDefault="00963274" w:rsidP="00EB7417">
            <w:pPr>
              <w:jc w:val="both"/>
              <w:rPr>
                <w:lang w:val="en-US"/>
              </w:rPr>
            </w:pPr>
            <w:r w:rsidRPr="00FC6DDA">
              <w:rPr>
                <w:lang w:val="en-US"/>
              </w:rPr>
              <w:t>Initial cost of fixed capital, million tenge</w:t>
            </w:r>
          </w:p>
        </w:tc>
        <w:tc>
          <w:tcPr>
            <w:tcW w:w="1062" w:type="dxa"/>
            <w:vAlign w:val="bottom"/>
          </w:tcPr>
          <w:p w14:paraId="2432279F" w14:textId="77777777" w:rsidR="00EB7417" w:rsidRPr="00FC6DDA" w:rsidRDefault="00EB7417" w:rsidP="00F25AA8">
            <w:pPr>
              <w:pStyle w:val="a"/>
              <w:jc w:val="center"/>
              <w:rPr>
                <w:rFonts w:ascii="Times New Roman" w:hAnsi="Times New Roman"/>
                <w:sz w:val="20"/>
              </w:rPr>
            </w:pPr>
            <w:r w:rsidRPr="00FC6DDA">
              <w:rPr>
                <w:rFonts w:ascii="Times New Roman" w:hAnsi="Times New Roman"/>
                <w:sz w:val="20"/>
              </w:rPr>
              <w:t>21 929,7</w:t>
            </w:r>
          </w:p>
        </w:tc>
        <w:tc>
          <w:tcPr>
            <w:tcW w:w="1063" w:type="dxa"/>
            <w:vAlign w:val="bottom"/>
          </w:tcPr>
          <w:p w14:paraId="3326B935" w14:textId="77777777" w:rsidR="00EB7417" w:rsidRPr="00FC6DDA" w:rsidRDefault="00EB7417" w:rsidP="00F25AA8">
            <w:pPr>
              <w:jc w:val="center"/>
            </w:pPr>
            <w:r w:rsidRPr="00FC6DDA">
              <w:t>22 351,4</w:t>
            </w:r>
          </w:p>
        </w:tc>
        <w:tc>
          <w:tcPr>
            <w:tcW w:w="1062" w:type="dxa"/>
            <w:vAlign w:val="bottom"/>
          </w:tcPr>
          <w:p w14:paraId="6F9BF3CD" w14:textId="77777777" w:rsidR="00EB7417" w:rsidRPr="00FC6DDA" w:rsidRDefault="00EB7417" w:rsidP="00F25AA8">
            <w:pPr>
              <w:autoSpaceDE w:val="0"/>
              <w:autoSpaceDN w:val="0"/>
              <w:adjustRightInd w:val="0"/>
              <w:jc w:val="center"/>
            </w:pPr>
            <w:r w:rsidRPr="00FC6DDA">
              <w:t>22 513,3</w:t>
            </w:r>
          </w:p>
        </w:tc>
        <w:tc>
          <w:tcPr>
            <w:tcW w:w="1063" w:type="dxa"/>
            <w:vAlign w:val="bottom"/>
          </w:tcPr>
          <w:p w14:paraId="4CE4FF99" w14:textId="77777777" w:rsidR="00EB7417" w:rsidRPr="00FC6DDA" w:rsidRDefault="00EB7417" w:rsidP="00F25AA8">
            <w:pPr>
              <w:jc w:val="center"/>
            </w:pPr>
            <w:r w:rsidRPr="00FC6DDA">
              <w:t>21 636,0</w:t>
            </w:r>
          </w:p>
        </w:tc>
        <w:tc>
          <w:tcPr>
            <w:tcW w:w="1063" w:type="dxa"/>
            <w:vAlign w:val="bottom"/>
          </w:tcPr>
          <w:p w14:paraId="082E81CD" w14:textId="77777777" w:rsidR="00EB7417" w:rsidRPr="00FC6DDA" w:rsidRDefault="00EB7417" w:rsidP="00F25AA8">
            <w:pPr>
              <w:jc w:val="center"/>
              <w:rPr>
                <w:rFonts w:eastAsia="Arial Unicode MS"/>
              </w:rPr>
            </w:pPr>
            <w:r w:rsidRPr="00FC6DDA">
              <w:t>24 968,4</w:t>
            </w:r>
          </w:p>
        </w:tc>
      </w:tr>
      <w:tr w:rsidR="00EB7417" w:rsidRPr="00FC6DDA" w14:paraId="50D4DD7D" w14:textId="77777777" w:rsidTr="00EB7417">
        <w:tc>
          <w:tcPr>
            <w:tcW w:w="4315" w:type="dxa"/>
          </w:tcPr>
          <w:p w14:paraId="6F3CE58E" w14:textId="497047EB" w:rsidR="00EB7417" w:rsidRPr="00FC6DDA" w:rsidRDefault="00FC6DDA" w:rsidP="00EB7417">
            <w:pPr>
              <w:jc w:val="both"/>
              <w:rPr>
                <w:lang w:val="en-US"/>
              </w:rPr>
            </w:pPr>
            <w:r w:rsidRPr="00FC6DDA">
              <w:rPr>
                <w:lang w:val="en-US"/>
              </w:rPr>
              <w:t xml:space="preserve">Balance </w:t>
            </w:r>
            <w:r w:rsidR="00963274" w:rsidRPr="00FC6DDA">
              <w:rPr>
                <w:lang w:val="en-US"/>
              </w:rPr>
              <w:t>sheet value of fixed capital, million tenge</w:t>
            </w:r>
          </w:p>
        </w:tc>
        <w:tc>
          <w:tcPr>
            <w:tcW w:w="1062" w:type="dxa"/>
            <w:vAlign w:val="bottom"/>
          </w:tcPr>
          <w:p w14:paraId="0E3F6F0D" w14:textId="77777777" w:rsidR="00EB7417" w:rsidRPr="00FC6DDA" w:rsidRDefault="00EB7417" w:rsidP="00F25AA8">
            <w:pPr>
              <w:pStyle w:val="a"/>
              <w:jc w:val="center"/>
              <w:rPr>
                <w:rFonts w:ascii="Times New Roman" w:hAnsi="Times New Roman"/>
                <w:sz w:val="20"/>
              </w:rPr>
            </w:pPr>
            <w:r w:rsidRPr="00FC6DDA">
              <w:rPr>
                <w:rFonts w:ascii="Times New Roman" w:hAnsi="Times New Roman"/>
                <w:sz w:val="20"/>
              </w:rPr>
              <w:t>12 750,0</w:t>
            </w:r>
          </w:p>
        </w:tc>
        <w:tc>
          <w:tcPr>
            <w:tcW w:w="1063" w:type="dxa"/>
            <w:vAlign w:val="bottom"/>
          </w:tcPr>
          <w:p w14:paraId="3293FFF1" w14:textId="77777777" w:rsidR="00EB7417" w:rsidRPr="00FC6DDA" w:rsidRDefault="00EB7417" w:rsidP="00F25AA8">
            <w:pPr>
              <w:jc w:val="center"/>
            </w:pPr>
            <w:r w:rsidRPr="00FC6DDA">
              <w:t>13 001,5</w:t>
            </w:r>
          </w:p>
        </w:tc>
        <w:tc>
          <w:tcPr>
            <w:tcW w:w="1062" w:type="dxa"/>
            <w:vAlign w:val="bottom"/>
          </w:tcPr>
          <w:p w14:paraId="72CE9F8F" w14:textId="77777777" w:rsidR="00EB7417" w:rsidRPr="00FC6DDA" w:rsidRDefault="00EB7417" w:rsidP="00F25AA8">
            <w:pPr>
              <w:autoSpaceDE w:val="0"/>
              <w:autoSpaceDN w:val="0"/>
              <w:adjustRightInd w:val="0"/>
              <w:jc w:val="center"/>
            </w:pPr>
            <w:r w:rsidRPr="00FC6DDA">
              <w:t>12 343,7</w:t>
            </w:r>
          </w:p>
        </w:tc>
        <w:tc>
          <w:tcPr>
            <w:tcW w:w="1063" w:type="dxa"/>
            <w:vAlign w:val="bottom"/>
          </w:tcPr>
          <w:p w14:paraId="7BCC1713" w14:textId="77777777" w:rsidR="00EB7417" w:rsidRPr="00FC6DDA" w:rsidRDefault="00EB7417" w:rsidP="00F25AA8">
            <w:pPr>
              <w:jc w:val="center"/>
            </w:pPr>
            <w:r w:rsidRPr="00FC6DDA">
              <w:t>11 157,5</w:t>
            </w:r>
          </w:p>
        </w:tc>
        <w:tc>
          <w:tcPr>
            <w:tcW w:w="1063" w:type="dxa"/>
            <w:vAlign w:val="bottom"/>
          </w:tcPr>
          <w:p w14:paraId="5F9E23EB" w14:textId="77777777" w:rsidR="00EB7417" w:rsidRPr="00FC6DDA" w:rsidRDefault="00EB7417" w:rsidP="00F25AA8">
            <w:pPr>
              <w:jc w:val="center"/>
              <w:rPr>
                <w:rFonts w:eastAsia="Arial Unicode MS"/>
              </w:rPr>
            </w:pPr>
            <w:r w:rsidRPr="00FC6DDA">
              <w:t>13 428,9</w:t>
            </w:r>
          </w:p>
        </w:tc>
      </w:tr>
      <w:tr w:rsidR="00EB7417" w:rsidRPr="00FC6DDA" w14:paraId="2B911A00" w14:textId="77777777" w:rsidTr="00EB7417">
        <w:tc>
          <w:tcPr>
            <w:tcW w:w="4315" w:type="dxa"/>
          </w:tcPr>
          <w:p w14:paraId="1141EC90" w14:textId="66531EC4" w:rsidR="00EB7417" w:rsidRPr="00FC6DDA" w:rsidRDefault="00963274" w:rsidP="00EB7417">
            <w:pPr>
              <w:jc w:val="both"/>
              <w:rPr>
                <w:lang w:val="en-US"/>
              </w:rPr>
            </w:pPr>
            <w:r w:rsidRPr="00FC6DDA">
              <w:rPr>
                <w:lang w:val="en-US"/>
              </w:rPr>
              <w:t xml:space="preserve">Depreciation rate of fixed </w:t>
            </w:r>
            <w:r w:rsidR="00BC126D" w:rsidRPr="00FC6DDA">
              <w:rPr>
                <w:lang w:val="en-US"/>
              </w:rPr>
              <w:t>assets, %</w:t>
            </w:r>
          </w:p>
        </w:tc>
        <w:tc>
          <w:tcPr>
            <w:tcW w:w="1062" w:type="dxa"/>
            <w:vAlign w:val="bottom"/>
          </w:tcPr>
          <w:p w14:paraId="291D1639" w14:textId="77777777" w:rsidR="00EB7417" w:rsidRPr="00FC6DDA" w:rsidRDefault="00EB7417" w:rsidP="00F25AA8">
            <w:pPr>
              <w:jc w:val="center"/>
            </w:pPr>
            <w:r w:rsidRPr="00FC6DDA">
              <w:t>41,9</w:t>
            </w:r>
          </w:p>
        </w:tc>
        <w:tc>
          <w:tcPr>
            <w:tcW w:w="1063" w:type="dxa"/>
            <w:vAlign w:val="bottom"/>
          </w:tcPr>
          <w:p w14:paraId="5BEA4E3D" w14:textId="77777777" w:rsidR="00EB7417" w:rsidRPr="00FC6DDA" w:rsidRDefault="00EB7417" w:rsidP="00F25AA8">
            <w:pPr>
              <w:jc w:val="center"/>
            </w:pPr>
            <w:r w:rsidRPr="00FC6DDA">
              <w:t>41,8</w:t>
            </w:r>
          </w:p>
        </w:tc>
        <w:tc>
          <w:tcPr>
            <w:tcW w:w="1062" w:type="dxa"/>
            <w:vAlign w:val="bottom"/>
          </w:tcPr>
          <w:p w14:paraId="46C86994" w14:textId="77777777" w:rsidR="00EB7417" w:rsidRPr="00FC6DDA" w:rsidRDefault="00EB7417" w:rsidP="00F25AA8">
            <w:pPr>
              <w:jc w:val="center"/>
            </w:pPr>
            <w:r w:rsidRPr="00FC6DDA">
              <w:t>45,2</w:t>
            </w:r>
          </w:p>
        </w:tc>
        <w:tc>
          <w:tcPr>
            <w:tcW w:w="1063" w:type="dxa"/>
            <w:vAlign w:val="bottom"/>
          </w:tcPr>
          <w:p w14:paraId="1187306E" w14:textId="77777777" w:rsidR="00EB7417" w:rsidRPr="00FC6DDA" w:rsidRDefault="00EB7417" w:rsidP="00F25AA8">
            <w:pPr>
              <w:jc w:val="center"/>
            </w:pPr>
            <w:r w:rsidRPr="00FC6DDA">
              <w:t>48,4</w:t>
            </w:r>
          </w:p>
        </w:tc>
        <w:tc>
          <w:tcPr>
            <w:tcW w:w="1063" w:type="dxa"/>
            <w:vAlign w:val="bottom"/>
          </w:tcPr>
          <w:p w14:paraId="0A59A163" w14:textId="77777777" w:rsidR="00EB7417" w:rsidRPr="00FC6DDA" w:rsidRDefault="00EB7417" w:rsidP="00F25AA8">
            <w:pPr>
              <w:jc w:val="center"/>
            </w:pPr>
            <w:r w:rsidRPr="00FC6DDA">
              <w:t>46,2</w:t>
            </w:r>
          </w:p>
        </w:tc>
      </w:tr>
    </w:tbl>
    <w:p w14:paraId="07A49BFD" w14:textId="208C284E" w:rsidR="00126830" w:rsidRPr="00FC6DDA" w:rsidRDefault="008850F3" w:rsidP="00126830">
      <w:pPr>
        <w:rPr>
          <w:sz w:val="20"/>
          <w:szCs w:val="20"/>
          <w:lang w:val="en-US"/>
        </w:rPr>
      </w:pPr>
      <w:r w:rsidRPr="00FC6DDA">
        <w:rPr>
          <w:sz w:val="20"/>
          <w:szCs w:val="20"/>
          <w:lang w:val="en-US"/>
        </w:rPr>
        <w:t xml:space="preserve">Note – In </w:t>
      </w:r>
      <w:r w:rsidR="00963274" w:rsidRPr="00FC6DDA">
        <w:rPr>
          <w:sz w:val="20"/>
          <w:szCs w:val="20"/>
          <w:lang w:val="en-US"/>
        </w:rPr>
        <w:t>accordance with source</w:t>
      </w:r>
      <w:r w:rsidR="00126830" w:rsidRPr="00FC6DDA">
        <w:rPr>
          <w:sz w:val="20"/>
          <w:szCs w:val="20"/>
          <w:lang w:val="en-US"/>
        </w:rPr>
        <w:t xml:space="preserve"> [</w:t>
      </w:r>
      <w:r w:rsidR="00E070BA" w:rsidRPr="00FC6DDA">
        <w:rPr>
          <w:sz w:val="20"/>
          <w:szCs w:val="20"/>
          <w:lang w:val="en-US"/>
        </w:rPr>
        <w:t>21</w:t>
      </w:r>
      <w:r w:rsidR="00126830" w:rsidRPr="00FC6DDA">
        <w:rPr>
          <w:sz w:val="20"/>
          <w:szCs w:val="20"/>
          <w:lang w:val="en-US"/>
        </w:rPr>
        <w:t>]</w:t>
      </w:r>
    </w:p>
    <w:p w14:paraId="3723A0B6" w14:textId="77777777" w:rsidR="001B601D" w:rsidRPr="00FC6DDA" w:rsidRDefault="001B601D" w:rsidP="00DB05EB">
      <w:pPr>
        <w:ind w:firstLine="567"/>
        <w:jc w:val="both"/>
        <w:rPr>
          <w:lang w:val="en-US"/>
        </w:rPr>
      </w:pPr>
    </w:p>
    <w:p w14:paraId="17D8560C" w14:textId="65326EC7" w:rsidR="00C33ABB" w:rsidRPr="00FC6DDA" w:rsidRDefault="001D3CB1" w:rsidP="00DB05EB">
      <w:pPr>
        <w:ind w:firstLine="567"/>
        <w:jc w:val="both"/>
        <w:rPr>
          <w:lang w:val="en-US"/>
        </w:rPr>
      </w:pPr>
      <w:r w:rsidRPr="00FC6DDA">
        <w:rPr>
          <w:lang w:val="en-US"/>
        </w:rPr>
        <w:t>The level of efficiency of fixed assets in the tourism industry can be characterized by the rate of return on assets (Figure 11)</w:t>
      </w:r>
      <w:r w:rsidR="00D96908" w:rsidRPr="00FC6DDA">
        <w:rPr>
          <w:lang w:val="en-US"/>
        </w:rPr>
        <w:t>.</w:t>
      </w:r>
    </w:p>
    <w:p w14:paraId="5AD0B802" w14:textId="77777777" w:rsidR="001B601D" w:rsidRPr="00FC6DDA" w:rsidRDefault="001B601D" w:rsidP="00DB05EB">
      <w:pPr>
        <w:ind w:firstLine="567"/>
        <w:jc w:val="both"/>
        <w:rPr>
          <w:b/>
          <w:bCs/>
          <w:sz w:val="22"/>
          <w:szCs w:val="22"/>
          <w:lang w:val="en-US"/>
        </w:rPr>
      </w:pPr>
    </w:p>
    <w:p w14:paraId="331D9D3B" w14:textId="7383EC8B" w:rsidR="00D96908" w:rsidRPr="00FC6DDA" w:rsidRDefault="00D96908" w:rsidP="00FC2DED">
      <w:pPr>
        <w:ind w:firstLine="540"/>
        <w:rPr>
          <w:sz w:val="28"/>
          <w:szCs w:val="28"/>
        </w:rPr>
      </w:pPr>
      <w:r w:rsidRPr="00FC6DDA">
        <w:rPr>
          <w:noProof/>
          <w:sz w:val="28"/>
          <w:szCs w:val="28"/>
          <w:lang w:val="en-GB" w:eastAsia="en-GB"/>
        </w:rPr>
        <w:drawing>
          <wp:inline distT="0" distB="0" distL="0" distR="0" wp14:anchorId="12255FF2" wp14:editId="27167919">
            <wp:extent cx="5486400" cy="2370980"/>
            <wp:effectExtent l="0" t="0" r="0" b="444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B68E36" w14:textId="456FFC0C" w:rsidR="00D96908" w:rsidRPr="00FC6DDA" w:rsidRDefault="008850F3" w:rsidP="00D96908">
      <w:pPr>
        <w:ind w:firstLine="540"/>
        <w:rPr>
          <w:sz w:val="20"/>
          <w:szCs w:val="20"/>
          <w:lang w:val="en-US"/>
        </w:rPr>
      </w:pPr>
      <w:r w:rsidRPr="00FC6DDA">
        <w:rPr>
          <w:sz w:val="20"/>
          <w:szCs w:val="20"/>
          <w:lang w:val="en-US"/>
        </w:rPr>
        <w:t xml:space="preserve">Note – In </w:t>
      </w:r>
      <w:r w:rsidR="001D3CB1" w:rsidRPr="00FC6DDA">
        <w:rPr>
          <w:sz w:val="20"/>
          <w:szCs w:val="20"/>
          <w:lang w:val="en-US"/>
        </w:rPr>
        <w:t>accordance with sources</w:t>
      </w:r>
      <w:r w:rsidR="00D96908" w:rsidRPr="00FC6DDA">
        <w:rPr>
          <w:sz w:val="20"/>
          <w:szCs w:val="20"/>
          <w:lang w:val="en-US"/>
        </w:rPr>
        <w:t xml:space="preserve"> [</w:t>
      </w:r>
      <w:r w:rsidR="00E070BA" w:rsidRPr="00FC6DDA">
        <w:rPr>
          <w:sz w:val="20"/>
          <w:szCs w:val="20"/>
          <w:lang w:val="en-US"/>
        </w:rPr>
        <w:t>21</w:t>
      </w:r>
      <w:r w:rsidR="00D96908" w:rsidRPr="00FC6DDA">
        <w:rPr>
          <w:sz w:val="20"/>
          <w:szCs w:val="20"/>
          <w:lang w:val="en-US"/>
        </w:rPr>
        <w:t>]</w:t>
      </w:r>
    </w:p>
    <w:p w14:paraId="318DC518" w14:textId="77777777" w:rsidR="00D96908" w:rsidRPr="00FC6DDA" w:rsidRDefault="00D96908" w:rsidP="00D96908">
      <w:pPr>
        <w:ind w:firstLine="540"/>
        <w:rPr>
          <w:lang w:val="en-US"/>
        </w:rPr>
      </w:pPr>
    </w:p>
    <w:p w14:paraId="1225AA65" w14:textId="4886B612" w:rsidR="00D96908" w:rsidRPr="00FC6DDA" w:rsidRDefault="001D3CB1" w:rsidP="00FC6DDA">
      <w:pPr>
        <w:ind w:firstLine="567"/>
        <w:jc w:val="center"/>
        <w:rPr>
          <w:lang w:val="en-US"/>
        </w:rPr>
      </w:pPr>
      <w:r w:rsidRPr="00FC6DDA">
        <w:rPr>
          <w:lang w:val="en-US"/>
        </w:rPr>
        <w:t>Figure 11 – Rate of return on assets in the tourism industry</w:t>
      </w:r>
    </w:p>
    <w:p w14:paraId="5EECA23B" w14:textId="77777777" w:rsidR="00F34ECA" w:rsidRPr="00FC6DDA" w:rsidRDefault="00F34ECA" w:rsidP="000C1DD2">
      <w:pPr>
        <w:ind w:firstLine="567"/>
        <w:jc w:val="both"/>
        <w:rPr>
          <w:lang w:val="en-US"/>
        </w:rPr>
      </w:pPr>
    </w:p>
    <w:p w14:paraId="6D9CF91B" w14:textId="3718A799" w:rsidR="000C1DD2" w:rsidRPr="00FC6DDA" w:rsidRDefault="000C1DD2" w:rsidP="000C1DD2">
      <w:pPr>
        <w:ind w:firstLine="567"/>
        <w:jc w:val="both"/>
        <w:rPr>
          <w:lang w:val="en-US"/>
        </w:rPr>
      </w:pPr>
      <w:r w:rsidRPr="00FC6DDA">
        <w:rPr>
          <w:lang w:val="en-US"/>
        </w:rPr>
        <w:t>Research and analysis of general economic trends in the functioning of the tourism industry in Pavlodar region makes it possible to carry out an integrated analytical assessment of medium-term investments based on the following assessments:</w:t>
      </w:r>
    </w:p>
    <w:p w14:paraId="3A0D648A" w14:textId="77777777" w:rsidR="000C1DD2" w:rsidRPr="00FC6DDA" w:rsidRDefault="000C1DD2" w:rsidP="000C1DD2">
      <w:pPr>
        <w:ind w:firstLine="567"/>
        <w:jc w:val="both"/>
        <w:rPr>
          <w:lang w:val="en-US"/>
        </w:rPr>
      </w:pPr>
      <w:r w:rsidRPr="00FC6DDA">
        <w:rPr>
          <w:lang w:val="en-US"/>
        </w:rPr>
        <w:t>- forecasting the mid-term dynamics of the contribution of the tourism industry to the GRP of Pavlodar region;</w:t>
      </w:r>
    </w:p>
    <w:p w14:paraId="2ED6D2FB" w14:textId="77777777" w:rsidR="000C1DD2" w:rsidRPr="00FC6DDA" w:rsidRDefault="000C1DD2" w:rsidP="000C1DD2">
      <w:pPr>
        <w:ind w:firstLine="567"/>
        <w:jc w:val="both"/>
        <w:rPr>
          <w:lang w:val="en-US"/>
        </w:rPr>
      </w:pPr>
      <w:r w:rsidRPr="00FC6DDA">
        <w:rPr>
          <w:lang w:val="en-US"/>
        </w:rPr>
        <w:t>- forecasting investments in the development of the tourism industry within the framework of state support;</w:t>
      </w:r>
    </w:p>
    <w:p w14:paraId="0268C0A7" w14:textId="77777777" w:rsidR="000C1DD2" w:rsidRPr="00FC6DDA" w:rsidRDefault="000C1DD2" w:rsidP="000C1DD2">
      <w:pPr>
        <w:ind w:firstLine="567"/>
        <w:jc w:val="both"/>
        <w:rPr>
          <w:lang w:val="en-US"/>
        </w:rPr>
      </w:pPr>
      <w:r w:rsidRPr="00FC6DDA">
        <w:rPr>
          <w:lang w:val="en-US"/>
        </w:rPr>
        <w:t>- forecasting investments in the development of the tourism industry within the framework of state support and attracting private investment;</w:t>
      </w:r>
    </w:p>
    <w:p w14:paraId="07B37580" w14:textId="77777777" w:rsidR="000C1DD2" w:rsidRPr="00FC6DDA" w:rsidRDefault="000C1DD2" w:rsidP="000C1DD2">
      <w:pPr>
        <w:ind w:firstLine="567"/>
        <w:jc w:val="both"/>
        <w:rPr>
          <w:lang w:val="en-US"/>
        </w:rPr>
      </w:pPr>
      <w:r w:rsidRPr="00FC6DDA">
        <w:rPr>
          <w:lang w:val="en-US"/>
        </w:rPr>
        <w:t>- forecasting employment and labor productivity in the tourism industry;</w:t>
      </w:r>
    </w:p>
    <w:p w14:paraId="0AAF7723" w14:textId="77777777" w:rsidR="000C1DD2" w:rsidRPr="00FC6DDA" w:rsidRDefault="000C1DD2" w:rsidP="000C1DD2">
      <w:pPr>
        <w:ind w:firstLine="567"/>
        <w:jc w:val="both"/>
        <w:rPr>
          <w:lang w:val="en-US"/>
        </w:rPr>
      </w:pPr>
      <w:r w:rsidRPr="00FC6DDA">
        <w:rPr>
          <w:lang w:val="en-US"/>
        </w:rPr>
        <w:t>- forecasting the resulting indicators of the development of the tourism industry in Pavlodar region.</w:t>
      </w:r>
    </w:p>
    <w:p w14:paraId="1E980843" w14:textId="28D0A74B" w:rsidR="002A083B" w:rsidRPr="00FC6DDA" w:rsidRDefault="000C1DD2" w:rsidP="000C1DD2">
      <w:pPr>
        <w:ind w:firstLine="567"/>
        <w:jc w:val="both"/>
        <w:rPr>
          <w:lang w:val="en-US"/>
        </w:rPr>
      </w:pPr>
      <w:r w:rsidRPr="00FC6DDA">
        <w:rPr>
          <w:lang w:val="en-US"/>
        </w:rPr>
        <w:t>Forecasts of the gross regional product and the share of the tourism industry in the regional economy make it possible to predict the total volume of tourism services until 2025 (</w:t>
      </w:r>
      <w:r w:rsidR="008850F3" w:rsidRPr="00FC6DDA">
        <w:rPr>
          <w:lang w:val="en-US"/>
        </w:rPr>
        <w:t>T</w:t>
      </w:r>
      <w:r w:rsidRPr="00FC6DDA">
        <w:rPr>
          <w:lang w:val="en-US"/>
        </w:rPr>
        <w:t>able 8)</w:t>
      </w:r>
      <w:r w:rsidR="002A083B" w:rsidRPr="00FC6DDA">
        <w:rPr>
          <w:lang w:val="en-US"/>
        </w:rPr>
        <w:t>.</w:t>
      </w:r>
    </w:p>
    <w:p w14:paraId="0964D975" w14:textId="77777777" w:rsidR="00FD499A" w:rsidRPr="00FC6DDA" w:rsidRDefault="00FD499A" w:rsidP="00FD499A">
      <w:pPr>
        <w:ind w:firstLine="567"/>
        <w:jc w:val="both"/>
        <w:rPr>
          <w:lang w:val="en-US"/>
        </w:rPr>
      </w:pPr>
      <w:r w:rsidRPr="00FC6DDA">
        <w:rPr>
          <w:lang w:val="en-US"/>
        </w:rPr>
        <w:t>Comparison of the forecast of the volume of tourist services with the forecast of the growth of capital productivity allows to determine the forecast of investments in fixed assets of the tourism industry, as well as the required amount of minimum investment in human resources and administration processes (Table 9).</w:t>
      </w:r>
    </w:p>
    <w:p w14:paraId="24307D70" w14:textId="77777777" w:rsidR="00FC6DDA" w:rsidRPr="00FC6DDA" w:rsidRDefault="00FC6DDA" w:rsidP="00FD499A">
      <w:pPr>
        <w:ind w:firstLine="567"/>
        <w:jc w:val="both"/>
        <w:rPr>
          <w:lang w:val="en-US"/>
        </w:rPr>
      </w:pPr>
    </w:p>
    <w:p w14:paraId="4AE2F60B" w14:textId="4C2D67B2" w:rsidR="002A083B" w:rsidRPr="00FC6DDA" w:rsidRDefault="000C1DD2" w:rsidP="002A083B">
      <w:pPr>
        <w:jc w:val="both"/>
        <w:rPr>
          <w:lang w:val="en-US"/>
        </w:rPr>
      </w:pPr>
      <w:r w:rsidRPr="00FC6DDA">
        <w:rPr>
          <w:lang w:val="en-US"/>
        </w:rPr>
        <w:t xml:space="preserve">Table 8 </w:t>
      </w:r>
      <w:r w:rsidR="008850F3" w:rsidRPr="00FC6DDA">
        <w:rPr>
          <w:lang w:val="en-US"/>
        </w:rPr>
        <w:t>–</w:t>
      </w:r>
      <w:r w:rsidRPr="00FC6DDA">
        <w:rPr>
          <w:lang w:val="en-US"/>
        </w:rPr>
        <w:t xml:space="preserve"> Forecasting the medium-term dynamics of the contribution of the tourism industry to the GRP of Pavlodar region</w:t>
      </w:r>
    </w:p>
    <w:tbl>
      <w:tblPr>
        <w:tblStyle w:val="TableGrid"/>
        <w:tblW w:w="0" w:type="auto"/>
        <w:tblLook w:val="04A0" w:firstRow="1" w:lastRow="0" w:firstColumn="1" w:lastColumn="0" w:noHBand="0" w:noVBand="1"/>
      </w:tblPr>
      <w:tblGrid>
        <w:gridCol w:w="3415"/>
        <w:gridCol w:w="1035"/>
        <w:gridCol w:w="1036"/>
        <w:gridCol w:w="1035"/>
        <w:gridCol w:w="1036"/>
        <w:gridCol w:w="1035"/>
        <w:gridCol w:w="1036"/>
      </w:tblGrid>
      <w:tr w:rsidR="002A083B" w:rsidRPr="00FC6DDA" w14:paraId="41E3FDA8" w14:textId="77777777" w:rsidTr="002A083B">
        <w:tc>
          <w:tcPr>
            <w:tcW w:w="3415" w:type="dxa"/>
            <w:vMerge w:val="restart"/>
          </w:tcPr>
          <w:p w14:paraId="0005EFD2" w14:textId="667C320B" w:rsidR="002A083B" w:rsidRPr="00FC6DDA" w:rsidRDefault="000C1DD2" w:rsidP="00F25AA8">
            <w:pPr>
              <w:jc w:val="center"/>
              <w:rPr>
                <w:lang w:val="en-US"/>
              </w:rPr>
            </w:pPr>
            <w:r w:rsidRPr="00FC6DDA">
              <w:rPr>
                <w:lang w:val="en-US"/>
              </w:rPr>
              <w:t>Index</w:t>
            </w:r>
          </w:p>
        </w:tc>
        <w:tc>
          <w:tcPr>
            <w:tcW w:w="6213" w:type="dxa"/>
            <w:gridSpan w:val="6"/>
          </w:tcPr>
          <w:p w14:paraId="7ECE0D5F" w14:textId="534C3739" w:rsidR="002A083B" w:rsidRPr="00FC6DDA" w:rsidRDefault="00FC6DDA" w:rsidP="002A083B">
            <w:pPr>
              <w:ind w:left="-57" w:right="-57"/>
              <w:jc w:val="center"/>
              <w:rPr>
                <w:lang w:val="en-US"/>
              </w:rPr>
            </w:pPr>
            <w:r w:rsidRPr="00FC6DDA">
              <w:rPr>
                <w:lang w:val="en-US"/>
              </w:rPr>
              <w:t>Year</w:t>
            </w:r>
          </w:p>
        </w:tc>
      </w:tr>
      <w:tr w:rsidR="002A083B" w:rsidRPr="00FC6DDA" w14:paraId="03527D03" w14:textId="77777777" w:rsidTr="002A083B">
        <w:tc>
          <w:tcPr>
            <w:tcW w:w="3415" w:type="dxa"/>
            <w:vMerge/>
          </w:tcPr>
          <w:p w14:paraId="6286FF4E" w14:textId="77777777" w:rsidR="002A083B" w:rsidRPr="00FC6DDA" w:rsidRDefault="002A083B" w:rsidP="00F25AA8">
            <w:pPr>
              <w:jc w:val="center"/>
            </w:pPr>
          </w:p>
        </w:tc>
        <w:tc>
          <w:tcPr>
            <w:tcW w:w="1035" w:type="dxa"/>
          </w:tcPr>
          <w:p w14:paraId="6FFD350A" w14:textId="77777777" w:rsidR="002A083B" w:rsidRPr="00FC6DDA" w:rsidRDefault="002A083B" w:rsidP="002A083B">
            <w:pPr>
              <w:ind w:left="-57" w:right="-57"/>
              <w:jc w:val="center"/>
              <w:rPr>
                <w:lang w:val="en-US"/>
              </w:rPr>
            </w:pPr>
            <w:r w:rsidRPr="00FC6DDA">
              <w:rPr>
                <w:lang w:val="en-US"/>
              </w:rPr>
              <w:t>2020</w:t>
            </w:r>
          </w:p>
        </w:tc>
        <w:tc>
          <w:tcPr>
            <w:tcW w:w="1036" w:type="dxa"/>
          </w:tcPr>
          <w:p w14:paraId="5FE8BB70" w14:textId="77777777" w:rsidR="002A083B" w:rsidRPr="00FC6DDA" w:rsidRDefault="002A083B" w:rsidP="002A083B">
            <w:pPr>
              <w:ind w:left="-57" w:right="-57"/>
              <w:jc w:val="center"/>
              <w:rPr>
                <w:lang w:val="en-US"/>
              </w:rPr>
            </w:pPr>
            <w:r w:rsidRPr="00FC6DDA">
              <w:t>20</w:t>
            </w:r>
            <w:r w:rsidRPr="00FC6DDA">
              <w:rPr>
                <w:lang w:val="en-US"/>
              </w:rPr>
              <w:t>21</w:t>
            </w:r>
          </w:p>
        </w:tc>
        <w:tc>
          <w:tcPr>
            <w:tcW w:w="1035" w:type="dxa"/>
          </w:tcPr>
          <w:p w14:paraId="7E6BACCC" w14:textId="77777777" w:rsidR="002A083B" w:rsidRPr="00FC6DDA" w:rsidRDefault="002A083B" w:rsidP="002A083B">
            <w:pPr>
              <w:ind w:left="-57" w:right="-57"/>
              <w:jc w:val="center"/>
              <w:rPr>
                <w:lang w:val="en-US"/>
              </w:rPr>
            </w:pPr>
            <w:r w:rsidRPr="00FC6DDA">
              <w:t>20</w:t>
            </w:r>
            <w:r w:rsidRPr="00FC6DDA">
              <w:rPr>
                <w:lang w:val="en-US"/>
              </w:rPr>
              <w:t>22</w:t>
            </w:r>
          </w:p>
        </w:tc>
        <w:tc>
          <w:tcPr>
            <w:tcW w:w="1036" w:type="dxa"/>
          </w:tcPr>
          <w:p w14:paraId="03D10AA5" w14:textId="77777777" w:rsidR="002A083B" w:rsidRPr="00FC6DDA" w:rsidRDefault="002A083B" w:rsidP="002A083B">
            <w:pPr>
              <w:ind w:left="-57" w:right="-57"/>
              <w:jc w:val="center"/>
              <w:rPr>
                <w:lang w:val="en-US"/>
              </w:rPr>
            </w:pPr>
            <w:r w:rsidRPr="00FC6DDA">
              <w:t>20</w:t>
            </w:r>
            <w:r w:rsidRPr="00FC6DDA">
              <w:rPr>
                <w:lang w:val="en-US"/>
              </w:rPr>
              <w:t>23</w:t>
            </w:r>
          </w:p>
        </w:tc>
        <w:tc>
          <w:tcPr>
            <w:tcW w:w="1035" w:type="dxa"/>
          </w:tcPr>
          <w:p w14:paraId="05920B3A" w14:textId="77777777" w:rsidR="002A083B" w:rsidRPr="00FC6DDA" w:rsidRDefault="002A083B" w:rsidP="002A083B">
            <w:pPr>
              <w:ind w:left="-57" w:right="-57"/>
              <w:jc w:val="center"/>
              <w:rPr>
                <w:lang w:val="en-US"/>
              </w:rPr>
            </w:pPr>
            <w:r w:rsidRPr="00FC6DDA">
              <w:t>20</w:t>
            </w:r>
            <w:r w:rsidRPr="00FC6DDA">
              <w:rPr>
                <w:lang w:val="en-US"/>
              </w:rPr>
              <w:t>24</w:t>
            </w:r>
          </w:p>
        </w:tc>
        <w:tc>
          <w:tcPr>
            <w:tcW w:w="1036" w:type="dxa"/>
          </w:tcPr>
          <w:p w14:paraId="4EC554C9" w14:textId="77777777" w:rsidR="002A083B" w:rsidRPr="00FC6DDA" w:rsidRDefault="002A083B" w:rsidP="002A083B">
            <w:pPr>
              <w:ind w:left="-57" w:right="-57"/>
              <w:jc w:val="center"/>
              <w:rPr>
                <w:lang w:val="en-US"/>
              </w:rPr>
            </w:pPr>
            <w:r w:rsidRPr="00FC6DDA">
              <w:rPr>
                <w:lang w:val="en-US"/>
              </w:rPr>
              <w:t>2025</w:t>
            </w:r>
          </w:p>
        </w:tc>
      </w:tr>
      <w:tr w:rsidR="002A083B" w:rsidRPr="00FC6DDA" w14:paraId="2E1CF2A8" w14:textId="77777777" w:rsidTr="002A083B">
        <w:tc>
          <w:tcPr>
            <w:tcW w:w="3415" w:type="dxa"/>
          </w:tcPr>
          <w:p w14:paraId="0E929557" w14:textId="0E686E5E" w:rsidR="002A083B" w:rsidRPr="00FC6DDA" w:rsidRDefault="000C1DD2" w:rsidP="00F25AA8">
            <w:pPr>
              <w:rPr>
                <w:lang w:val="en-US"/>
              </w:rPr>
            </w:pPr>
            <w:r w:rsidRPr="00FC6DDA">
              <w:rPr>
                <w:lang w:val="en-US"/>
              </w:rPr>
              <w:t xml:space="preserve">Gross regional product (GRP) of Pavlodar region, </w:t>
            </w:r>
            <w:r w:rsidR="00862590" w:rsidRPr="00FC6DDA">
              <w:rPr>
                <w:lang w:val="en-US"/>
              </w:rPr>
              <w:t xml:space="preserve">a </w:t>
            </w:r>
            <w:r w:rsidRPr="00FC6DDA">
              <w:rPr>
                <w:lang w:val="en-US"/>
              </w:rPr>
              <w:t>billion tenge (forecast)</w:t>
            </w:r>
          </w:p>
        </w:tc>
        <w:tc>
          <w:tcPr>
            <w:tcW w:w="1035" w:type="dxa"/>
            <w:vAlign w:val="bottom"/>
          </w:tcPr>
          <w:p w14:paraId="2877D565" w14:textId="77777777" w:rsidR="002A083B" w:rsidRPr="00FC6DDA" w:rsidRDefault="002A083B" w:rsidP="002A083B">
            <w:pPr>
              <w:ind w:left="-57" w:right="-57"/>
              <w:jc w:val="center"/>
            </w:pPr>
            <w:r w:rsidRPr="00FC6DDA">
              <w:t>2</w:t>
            </w:r>
            <w:r w:rsidRPr="00FC6DDA">
              <w:rPr>
                <w:lang w:val="en-US"/>
              </w:rPr>
              <w:t xml:space="preserve"> </w:t>
            </w:r>
            <w:r w:rsidRPr="00FC6DDA">
              <w:t>867,63</w:t>
            </w:r>
          </w:p>
        </w:tc>
        <w:tc>
          <w:tcPr>
            <w:tcW w:w="1036" w:type="dxa"/>
            <w:vAlign w:val="bottom"/>
          </w:tcPr>
          <w:p w14:paraId="1842434F" w14:textId="77777777" w:rsidR="002A083B" w:rsidRPr="00FC6DDA" w:rsidRDefault="002A083B" w:rsidP="002A083B">
            <w:pPr>
              <w:ind w:left="-57" w:right="-57"/>
              <w:jc w:val="center"/>
            </w:pPr>
            <w:r w:rsidRPr="00FC6DDA">
              <w:t>2</w:t>
            </w:r>
            <w:r w:rsidRPr="00FC6DDA">
              <w:rPr>
                <w:lang w:val="en-US"/>
              </w:rPr>
              <w:t xml:space="preserve"> </w:t>
            </w:r>
            <w:r w:rsidRPr="00FC6DDA">
              <w:t>982,33</w:t>
            </w:r>
          </w:p>
        </w:tc>
        <w:tc>
          <w:tcPr>
            <w:tcW w:w="1035" w:type="dxa"/>
            <w:vAlign w:val="bottom"/>
          </w:tcPr>
          <w:p w14:paraId="411CE958" w14:textId="77777777" w:rsidR="002A083B" w:rsidRPr="00FC6DDA" w:rsidRDefault="002A083B" w:rsidP="002A083B">
            <w:pPr>
              <w:ind w:left="-57" w:right="-57"/>
              <w:jc w:val="center"/>
            </w:pPr>
            <w:r w:rsidRPr="00FC6DDA">
              <w:t>3</w:t>
            </w:r>
            <w:r w:rsidRPr="00FC6DDA">
              <w:rPr>
                <w:lang w:val="en-US"/>
              </w:rPr>
              <w:t xml:space="preserve"> </w:t>
            </w:r>
            <w:r w:rsidRPr="00FC6DDA">
              <w:t>039,69</w:t>
            </w:r>
          </w:p>
        </w:tc>
        <w:tc>
          <w:tcPr>
            <w:tcW w:w="1036" w:type="dxa"/>
            <w:vAlign w:val="bottom"/>
          </w:tcPr>
          <w:p w14:paraId="0D309EED" w14:textId="77777777" w:rsidR="002A083B" w:rsidRPr="00FC6DDA" w:rsidRDefault="002A083B" w:rsidP="002A083B">
            <w:pPr>
              <w:ind w:left="-57" w:right="-57"/>
              <w:jc w:val="center"/>
            </w:pPr>
            <w:r w:rsidRPr="00FC6DDA">
              <w:t>3</w:t>
            </w:r>
            <w:r w:rsidRPr="00FC6DDA">
              <w:rPr>
                <w:lang w:val="en-US"/>
              </w:rPr>
              <w:t xml:space="preserve"> </w:t>
            </w:r>
            <w:r w:rsidRPr="00FC6DDA">
              <w:t>191,10</w:t>
            </w:r>
          </w:p>
        </w:tc>
        <w:tc>
          <w:tcPr>
            <w:tcW w:w="1035" w:type="dxa"/>
            <w:vAlign w:val="bottom"/>
          </w:tcPr>
          <w:p w14:paraId="1D4DA84A" w14:textId="77777777" w:rsidR="002A083B" w:rsidRPr="00FC6DDA" w:rsidRDefault="002A083B" w:rsidP="002A083B">
            <w:pPr>
              <w:ind w:left="-57" w:right="-57"/>
              <w:jc w:val="center"/>
            </w:pPr>
            <w:r w:rsidRPr="00FC6DDA">
              <w:t>3</w:t>
            </w:r>
            <w:r w:rsidRPr="00FC6DDA">
              <w:rPr>
                <w:lang w:val="en-US"/>
              </w:rPr>
              <w:t xml:space="preserve"> </w:t>
            </w:r>
            <w:r w:rsidRPr="00FC6DDA">
              <w:t>282,86</w:t>
            </w:r>
          </w:p>
        </w:tc>
        <w:tc>
          <w:tcPr>
            <w:tcW w:w="1036" w:type="dxa"/>
            <w:vAlign w:val="bottom"/>
          </w:tcPr>
          <w:p w14:paraId="473DEF95" w14:textId="77777777" w:rsidR="002A083B" w:rsidRPr="00FC6DDA" w:rsidRDefault="002A083B" w:rsidP="002A083B">
            <w:pPr>
              <w:ind w:left="-57" w:right="-57"/>
              <w:jc w:val="center"/>
            </w:pPr>
            <w:r w:rsidRPr="00FC6DDA">
              <w:t>3</w:t>
            </w:r>
            <w:r w:rsidRPr="00FC6DDA">
              <w:rPr>
                <w:lang w:val="en-US"/>
              </w:rPr>
              <w:t xml:space="preserve"> </w:t>
            </w:r>
            <w:r w:rsidRPr="00FC6DDA">
              <w:t>510,21</w:t>
            </w:r>
          </w:p>
        </w:tc>
      </w:tr>
      <w:tr w:rsidR="002A083B" w:rsidRPr="00FC6DDA" w14:paraId="1807ECC0" w14:textId="77777777" w:rsidTr="002A083B">
        <w:tc>
          <w:tcPr>
            <w:tcW w:w="3415" w:type="dxa"/>
          </w:tcPr>
          <w:p w14:paraId="2795F478" w14:textId="75BD3462" w:rsidR="002A083B" w:rsidRPr="00FC6DDA" w:rsidRDefault="000C1DD2" w:rsidP="00F25AA8">
            <w:pPr>
              <w:rPr>
                <w:lang w:val="en-US"/>
              </w:rPr>
            </w:pPr>
            <w:r w:rsidRPr="00FC6DDA">
              <w:rPr>
                <w:lang w:val="en-US"/>
              </w:rPr>
              <w:t xml:space="preserve">GRP growth rate of Pavlodar </w:t>
            </w:r>
            <w:r w:rsidR="008850F3" w:rsidRPr="00FC6DDA">
              <w:rPr>
                <w:lang w:val="en-US"/>
              </w:rPr>
              <w:t>region, %</w:t>
            </w:r>
            <w:r w:rsidRPr="00FC6DDA">
              <w:rPr>
                <w:lang w:val="en-US"/>
              </w:rPr>
              <w:t xml:space="preserve"> (forecast)</w:t>
            </w:r>
          </w:p>
        </w:tc>
        <w:tc>
          <w:tcPr>
            <w:tcW w:w="1035" w:type="dxa"/>
            <w:vAlign w:val="bottom"/>
          </w:tcPr>
          <w:p w14:paraId="3ED0667A" w14:textId="77777777" w:rsidR="002A083B" w:rsidRPr="00FC6DDA" w:rsidRDefault="002A083B" w:rsidP="002A083B">
            <w:pPr>
              <w:ind w:left="-57" w:right="-57"/>
              <w:jc w:val="center"/>
            </w:pPr>
            <w:r w:rsidRPr="00FC6DDA">
              <w:t>102,2</w:t>
            </w:r>
          </w:p>
        </w:tc>
        <w:tc>
          <w:tcPr>
            <w:tcW w:w="1036" w:type="dxa"/>
            <w:vAlign w:val="bottom"/>
          </w:tcPr>
          <w:p w14:paraId="5BF829B7" w14:textId="77777777" w:rsidR="002A083B" w:rsidRPr="00FC6DDA" w:rsidRDefault="002A083B" w:rsidP="002A083B">
            <w:pPr>
              <w:ind w:left="-57" w:right="-57"/>
              <w:jc w:val="center"/>
            </w:pPr>
            <w:r w:rsidRPr="00FC6DDA">
              <w:t>104</w:t>
            </w:r>
          </w:p>
        </w:tc>
        <w:tc>
          <w:tcPr>
            <w:tcW w:w="1035" w:type="dxa"/>
            <w:vAlign w:val="bottom"/>
          </w:tcPr>
          <w:p w14:paraId="5A6531B0" w14:textId="77777777" w:rsidR="002A083B" w:rsidRPr="00FC6DDA" w:rsidRDefault="002A083B" w:rsidP="002A083B">
            <w:pPr>
              <w:ind w:left="-57" w:right="-57"/>
              <w:jc w:val="center"/>
            </w:pPr>
            <w:r w:rsidRPr="00FC6DDA">
              <w:t>106</w:t>
            </w:r>
          </w:p>
        </w:tc>
        <w:tc>
          <w:tcPr>
            <w:tcW w:w="1036" w:type="dxa"/>
            <w:vAlign w:val="bottom"/>
          </w:tcPr>
          <w:p w14:paraId="77300F77" w14:textId="77777777" w:rsidR="002A083B" w:rsidRPr="00FC6DDA" w:rsidRDefault="002A083B" w:rsidP="002A083B">
            <w:pPr>
              <w:ind w:left="-57" w:right="-57"/>
              <w:jc w:val="center"/>
            </w:pPr>
            <w:r w:rsidRPr="00FC6DDA">
              <w:t>107</w:t>
            </w:r>
          </w:p>
        </w:tc>
        <w:tc>
          <w:tcPr>
            <w:tcW w:w="1035" w:type="dxa"/>
            <w:vAlign w:val="bottom"/>
          </w:tcPr>
          <w:p w14:paraId="09CE42F7" w14:textId="77777777" w:rsidR="002A083B" w:rsidRPr="00FC6DDA" w:rsidRDefault="002A083B" w:rsidP="002A083B">
            <w:pPr>
              <w:ind w:left="-57" w:right="-57"/>
              <w:jc w:val="center"/>
            </w:pPr>
            <w:r w:rsidRPr="00FC6DDA">
              <w:t>108</w:t>
            </w:r>
          </w:p>
        </w:tc>
        <w:tc>
          <w:tcPr>
            <w:tcW w:w="1036" w:type="dxa"/>
            <w:vAlign w:val="bottom"/>
          </w:tcPr>
          <w:p w14:paraId="48EBC596" w14:textId="77777777" w:rsidR="002A083B" w:rsidRPr="00FC6DDA" w:rsidRDefault="002A083B" w:rsidP="002A083B">
            <w:pPr>
              <w:ind w:left="-57" w:right="-57"/>
              <w:jc w:val="center"/>
            </w:pPr>
            <w:r w:rsidRPr="00FC6DDA">
              <w:t>110</w:t>
            </w:r>
          </w:p>
        </w:tc>
      </w:tr>
      <w:tr w:rsidR="002A083B" w:rsidRPr="00FC6DDA" w14:paraId="18DDDB27" w14:textId="77777777" w:rsidTr="002A083B">
        <w:tc>
          <w:tcPr>
            <w:tcW w:w="3415" w:type="dxa"/>
          </w:tcPr>
          <w:p w14:paraId="031252C0" w14:textId="46F20639" w:rsidR="002A083B" w:rsidRPr="00FC6DDA" w:rsidRDefault="000C1DD2" w:rsidP="00F25AA8">
            <w:pPr>
              <w:rPr>
                <w:lang w:val="en-US"/>
              </w:rPr>
            </w:pPr>
            <w:r w:rsidRPr="00FC6DDA">
              <w:rPr>
                <w:lang w:val="en-US"/>
              </w:rPr>
              <w:t>Real share of the tourism industry in GRP (plan</w:t>
            </w:r>
            <w:r w:rsidR="008850F3" w:rsidRPr="00FC6DDA">
              <w:rPr>
                <w:lang w:val="en-US"/>
              </w:rPr>
              <w:t>), %</w:t>
            </w:r>
          </w:p>
        </w:tc>
        <w:tc>
          <w:tcPr>
            <w:tcW w:w="1035" w:type="dxa"/>
            <w:vAlign w:val="bottom"/>
          </w:tcPr>
          <w:p w14:paraId="70FD50C9" w14:textId="77777777" w:rsidR="002A083B" w:rsidRPr="00FC6DDA" w:rsidRDefault="002A083B" w:rsidP="002A083B">
            <w:pPr>
              <w:ind w:left="-57" w:right="-57"/>
              <w:jc w:val="center"/>
              <w:rPr>
                <w:lang w:val="en-US"/>
              </w:rPr>
            </w:pPr>
            <w:r w:rsidRPr="00FC6DDA">
              <w:t>0,06</w:t>
            </w:r>
          </w:p>
        </w:tc>
        <w:tc>
          <w:tcPr>
            <w:tcW w:w="1036" w:type="dxa"/>
            <w:vAlign w:val="bottom"/>
          </w:tcPr>
          <w:p w14:paraId="41112256" w14:textId="77777777" w:rsidR="002A083B" w:rsidRPr="00FC6DDA" w:rsidRDefault="002A083B" w:rsidP="002A083B">
            <w:pPr>
              <w:ind w:left="-57" w:right="-57"/>
              <w:jc w:val="center"/>
              <w:rPr>
                <w:lang w:val="en-US"/>
              </w:rPr>
            </w:pPr>
            <w:r w:rsidRPr="00FC6DDA">
              <w:t>0,</w:t>
            </w:r>
            <w:r w:rsidRPr="00FC6DDA">
              <w:rPr>
                <w:lang w:val="en-US"/>
              </w:rPr>
              <w:t>16</w:t>
            </w:r>
          </w:p>
        </w:tc>
        <w:tc>
          <w:tcPr>
            <w:tcW w:w="1035" w:type="dxa"/>
            <w:vAlign w:val="bottom"/>
          </w:tcPr>
          <w:p w14:paraId="495F1CA0" w14:textId="77777777" w:rsidR="002A083B" w:rsidRPr="00FC6DDA" w:rsidRDefault="002A083B" w:rsidP="002A083B">
            <w:pPr>
              <w:ind w:left="-57" w:right="-57"/>
              <w:jc w:val="center"/>
              <w:rPr>
                <w:lang w:val="en-US"/>
              </w:rPr>
            </w:pPr>
            <w:r w:rsidRPr="00FC6DDA">
              <w:t>0,</w:t>
            </w:r>
            <w:r w:rsidRPr="00FC6DDA">
              <w:rPr>
                <w:lang w:val="en-US"/>
              </w:rPr>
              <w:t>26</w:t>
            </w:r>
          </w:p>
        </w:tc>
        <w:tc>
          <w:tcPr>
            <w:tcW w:w="1036" w:type="dxa"/>
            <w:vAlign w:val="bottom"/>
          </w:tcPr>
          <w:p w14:paraId="60DA08BB" w14:textId="77777777" w:rsidR="002A083B" w:rsidRPr="00FC6DDA" w:rsidRDefault="002A083B" w:rsidP="002A083B">
            <w:pPr>
              <w:ind w:left="-57" w:right="-57"/>
              <w:jc w:val="center"/>
              <w:rPr>
                <w:lang w:val="en-US"/>
              </w:rPr>
            </w:pPr>
            <w:r w:rsidRPr="00FC6DDA">
              <w:t>0,</w:t>
            </w:r>
            <w:r w:rsidRPr="00FC6DDA">
              <w:rPr>
                <w:lang w:val="en-US"/>
              </w:rPr>
              <w:t>36</w:t>
            </w:r>
          </w:p>
        </w:tc>
        <w:tc>
          <w:tcPr>
            <w:tcW w:w="1035" w:type="dxa"/>
            <w:vAlign w:val="bottom"/>
          </w:tcPr>
          <w:p w14:paraId="278DC946" w14:textId="77777777" w:rsidR="002A083B" w:rsidRPr="00FC6DDA" w:rsidRDefault="002A083B" w:rsidP="002A083B">
            <w:pPr>
              <w:ind w:left="-57" w:right="-57"/>
              <w:jc w:val="center"/>
              <w:rPr>
                <w:lang w:val="en-US"/>
              </w:rPr>
            </w:pPr>
            <w:r w:rsidRPr="00FC6DDA">
              <w:t>0,</w:t>
            </w:r>
            <w:r w:rsidRPr="00FC6DDA">
              <w:rPr>
                <w:lang w:val="en-US"/>
              </w:rPr>
              <w:t>46</w:t>
            </w:r>
          </w:p>
        </w:tc>
        <w:tc>
          <w:tcPr>
            <w:tcW w:w="1036" w:type="dxa"/>
            <w:vAlign w:val="bottom"/>
          </w:tcPr>
          <w:p w14:paraId="056F4605" w14:textId="77777777" w:rsidR="002A083B" w:rsidRPr="00FC6DDA" w:rsidRDefault="002A083B" w:rsidP="002A083B">
            <w:pPr>
              <w:ind w:left="-57" w:right="-57"/>
              <w:jc w:val="center"/>
              <w:rPr>
                <w:lang w:val="en-US"/>
              </w:rPr>
            </w:pPr>
            <w:r w:rsidRPr="00FC6DDA">
              <w:rPr>
                <w:lang w:val="en-US"/>
              </w:rPr>
              <w:t>0</w:t>
            </w:r>
            <w:r w:rsidRPr="00FC6DDA">
              <w:t>,</w:t>
            </w:r>
            <w:r w:rsidRPr="00FC6DDA">
              <w:rPr>
                <w:lang w:val="en-US"/>
              </w:rPr>
              <w:t>56</w:t>
            </w:r>
          </w:p>
        </w:tc>
      </w:tr>
      <w:tr w:rsidR="002A083B" w:rsidRPr="00FC6DDA" w14:paraId="61FE212B" w14:textId="77777777" w:rsidTr="002A083B">
        <w:tc>
          <w:tcPr>
            <w:tcW w:w="3415" w:type="dxa"/>
          </w:tcPr>
          <w:p w14:paraId="122D1687" w14:textId="575EC3AB" w:rsidR="002A083B" w:rsidRPr="00FC6DDA" w:rsidRDefault="000C1DD2" w:rsidP="00F25AA8">
            <w:pPr>
              <w:rPr>
                <w:lang w:val="en-US"/>
              </w:rPr>
            </w:pPr>
            <w:r w:rsidRPr="00FC6DDA">
              <w:rPr>
                <w:lang w:val="en-US"/>
              </w:rPr>
              <w:t>Tourist services,</w:t>
            </w:r>
            <w:r w:rsidR="00862590" w:rsidRPr="00FC6DDA">
              <w:rPr>
                <w:lang w:val="en-US"/>
              </w:rPr>
              <w:t xml:space="preserve"> a</w:t>
            </w:r>
            <w:r w:rsidRPr="00FC6DDA">
              <w:rPr>
                <w:lang w:val="en-US"/>
              </w:rPr>
              <w:t xml:space="preserve"> billion tenge (plan)</w:t>
            </w:r>
          </w:p>
        </w:tc>
        <w:tc>
          <w:tcPr>
            <w:tcW w:w="1035" w:type="dxa"/>
            <w:vAlign w:val="bottom"/>
          </w:tcPr>
          <w:p w14:paraId="66C5E4B9" w14:textId="77777777" w:rsidR="002A083B" w:rsidRPr="00FC6DDA" w:rsidRDefault="002A083B" w:rsidP="002A083B">
            <w:pPr>
              <w:ind w:left="-57" w:right="-57"/>
              <w:jc w:val="center"/>
            </w:pPr>
            <w:r w:rsidRPr="00FC6DDA">
              <w:t>1,72</w:t>
            </w:r>
          </w:p>
        </w:tc>
        <w:tc>
          <w:tcPr>
            <w:tcW w:w="1036" w:type="dxa"/>
            <w:vAlign w:val="bottom"/>
          </w:tcPr>
          <w:p w14:paraId="50E48970" w14:textId="77777777" w:rsidR="002A083B" w:rsidRPr="00FC6DDA" w:rsidRDefault="002A083B" w:rsidP="002A083B">
            <w:pPr>
              <w:ind w:left="-57" w:right="-57"/>
              <w:jc w:val="center"/>
            </w:pPr>
            <w:r w:rsidRPr="00FC6DDA">
              <w:t>4,77</w:t>
            </w:r>
          </w:p>
        </w:tc>
        <w:tc>
          <w:tcPr>
            <w:tcW w:w="1035" w:type="dxa"/>
            <w:vAlign w:val="bottom"/>
          </w:tcPr>
          <w:p w14:paraId="6A796DAB" w14:textId="77777777" w:rsidR="002A083B" w:rsidRPr="00FC6DDA" w:rsidRDefault="002A083B" w:rsidP="002A083B">
            <w:pPr>
              <w:ind w:left="-57" w:right="-57"/>
              <w:jc w:val="center"/>
            </w:pPr>
            <w:r w:rsidRPr="00FC6DDA">
              <w:t>7,90</w:t>
            </w:r>
          </w:p>
        </w:tc>
        <w:tc>
          <w:tcPr>
            <w:tcW w:w="1036" w:type="dxa"/>
            <w:vAlign w:val="bottom"/>
          </w:tcPr>
          <w:p w14:paraId="4F712D1C" w14:textId="77777777" w:rsidR="002A083B" w:rsidRPr="00FC6DDA" w:rsidRDefault="002A083B" w:rsidP="002A083B">
            <w:pPr>
              <w:ind w:left="-57" w:right="-57"/>
              <w:jc w:val="center"/>
            </w:pPr>
            <w:r w:rsidRPr="00FC6DDA">
              <w:t>11,49</w:t>
            </w:r>
          </w:p>
        </w:tc>
        <w:tc>
          <w:tcPr>
            <w:tcW w:w="1035" w:type="dxa"/>
            <w:vAlign w:val="bottom"/>
          </w:tcPr>
          <w:p w14:paraId="43DC6BE8" w14:textId="77777777" w:rsidR="002A083B" w:rsidRPr="00FC6DDA" w:rsidRDefault="002A083B" w:rsidP="002A083B">
            <w:pPr>
              <w:ind w:left="-57" w:right="-57"/>
              <w:jc w:val="center"/>
            </w:pPr>
            <w:r w:rsidRPr="00FC6DDA">
              <w:t>15,10</w:t>
            </w:r>
          </w:p>
        </w:tc>
        <w:tc>
          <w:tcPr>
            <w:tcW w:w="1036" w:type="dxa"/>
            <w:vAlign w:val="bottom"/>
          </w:tcPr>
          <w:p w14:paraId="7A2469DC" w14:textId="77777777" w:rsidR="002A083B" w:rsidRPr="00FC6DDA" w:rsidRDefault="002A083B" w:rsidP="002A083B">
            <w:pPr>
              <w:ind w:left="-57" w:right="-57"/>
              <w:jc w:val="center"/>
            </w:pPr>
            <w:r w:rsidRPr="00FC6DDA">
              <w:t>19,66</w:t>
            </w:r>
          </w:p>
        </w:tc>
      </w:tr>
    </w:tbl>
    <w:p w14:paraId="066A289A" w14:textId="77777777" w:rsidR="008850F3" w:rsidRPr="00FC6DDA" w:rsidRDefault="008850F3" w:rsidP="008850F3">
      <w:pPr>
        <w:rPr>
          <w:sz w:val="20"/>
          <w:szCs w:val="20"/>
        </w:rPr>
      </w:pPr>
      <w:r w:rsidRPr="00FC6DDA">
        <w:rPr>
          <w:sz w:val="20"/>
          <w:szCs w:val="20"/>
          <w:lang w:val="en-US"/>
        </w:rPr>
        <w:t xml:space="preserve">Note – </w:t>
      </w:r>
      <w:r w:rsidRPr="00FC6DDA">
        <w:rPr>
          <w:sz w:val="20"/>
          <w:szCs w:val="20"/>
        </w:rPr>
        <w:t>Compiled by the authors</w:t>
      </w:r>
      <w:r w:rsidRPr="00FC6DDA">
        <w:rPr>
          <w:rFonts w:ascii="Helvetica" w:hAnsi="Helvetica"/>
          <w:sz w:val="20"/>
          <w:szCs w:val="20"/>
          <w:shd w:val="clear" w:color="auto" w:fill="F5F5F5"/>
        </w:rPr>
        <w:t xml:space="preserve"> </w:t>
      </w:r>
    </w:p>
    <w:p w14:paraId="1B8B17DE" w14:textId="77777777" w:rsidR="008850F3" w:rsidRPr="00FC6DDA" w:rsidRDefault="008850F3" w:rsidP="002A083B">
      <w:pPr>
        <w:ind w:firstLine="567"/>
        <w:jc w:val="both"/>
        <w:rPr>
          <w:lang w:val="en-US"/>
        </w:rPr>
      </w:pPr>
    </w:p>
    <w:p w14:paraId="26AD19C8" w14:textId="5E25F093" w:rsidR="002A083B" w:rsidRPr="00FC6DDA" w:rsidRDefault="000C1DD2" w:rsidP="002A083B">
      <w:pPr>
        <w:jc w:val="both"/>
        <w:rPr>
          <w:lang w:val="en-US"/>
        </w:rPr>
      </w:pPr>
      <w:r w:rsidRPr="00FC6DDA">
        <w:rPr>
          <w:lang w:val="en-US"/>
        </w:rPr>
        <w:lastRenderedPageBreak/>
        <w:t xml:space="preserve">Table 9 </w:t>
      </w:r>
      <w:r w:rsidR="001B601D" w:rsidRPr="00FC6DDA">
        <w:rPr>
          <w:lang w:val="en-US"/>
        </w:rPr>
        <w:t>–</w:t>
      </w:r>
      <w:r w:rsidRPr="00FC6DDA">
        <w:rPr>
          <w:lang w:val="en-US"/>
        </w:rPr>
        <w:t xml:space="preserve"> Forecasting investments in the development of the tourism industry within the framework of state support</w:t>
      </w:r>
    </w:p>
    <w:tbl>
      <w:tblPr>
        <w:tblStyle w:val="TableGrid"/>
        <w:tblW w:w="0" w:type="auto"/>
        <w:tblLook w:val="04A0" w:firstRow="1" w:lastRow="0" w:firstColumn="1" w:lastColumn="0" w:noHBand="0" w:noVBand="1"/>
      </w:tblPr>
      <w:tblGrid>
        <w:gridCol w:w="3235"/>
        <w:gridCol w:w="1065"/>
        <w:gridCol w:w="1066"/>
        <w:gridCol w:w="1065"/>
        <w:gridCol w:w="1066"/>
        <w:gridCol w:w="1065"/>
        <w:gridCol w:w="1066"/>
      </w:tblGrid>
      <w:tr w:rsidR="002A083B" w:rsidRPr="00FC6DDA" w14:paraId="5648F0E8" w14:textId="77777777" w:rsidTr="002A083B">
        <w:tc>
          <w:tcPr>
            <w:tcW w:w="3235" w:type="dxa"/>
            <w:vMerge w:val="restart"/>
          </w:tcPr>
          <w:p w14:paraId="59C2D416" w14:textId="1000EEEF" w:rsidR="002A083B" w:rsidRPr="00FC6DDA" w:rsidRDefault="000C1DD2" w:rsidP="00F25AA8">
            <w:pPr>
              <w:jc w:val="center"/>
              <w:rPr>
                <w:lang w:val="en-US"/>
              </w:rPr>
            </w:pPr>
            <w:r w:rsidRPr="00FC6DDA">
              <w:rPr>
                <w:lang w:val="en-US"/>
              </w:rPr>
              <w:t>Index</w:t>
            </w:r>
          </w:p>
        </w:tc>
        <w:tc>
          <w:tcPr>
            <w:tcW w:w="6393" w:type="dxa"/>
            <w:gridSpan w:val="6"/>
          </w:tcPr>
          <w:p w14:paraId="224F464E" w14:textId="565BEB0F" w:rsidR="002A083B" w:rsidRPr="00FC6DDA" w:rsidRDefault="00FC6DDA" w:rsidP="00F25AA8">
            <w:pPr>
              <w:jc w:val="center"/>
              <w:rPr>
                <w:lang w:val="en-US"/>
              </w:rPr>
            </w:pPr>
            <w:r w:rsidRPr="00FC6DDA">
              <w:rPr>
                <w:lang w:val="en-US"/>
              </w:rPr>
              <w:t>Year</w:t>
            </w:r>
          </w:p>
        </w:tc>
      </w:tr>
      <w:tr w:rsidR="002A083B" w:rsidRPr="00FC6DDA" w14:paraId="495F75BC" w14:textId="77777777" w:rsidTr="002A083B">
        <w:tc>
          <w:tcPr>
            <w:tcW w:w="3235" w:type="dxa"/>
            <w:vMerge/>
          </w:tcPr>
          <w:p w14:paraId="474ED490" w14:textId="77777777" w:rsidR="002A083B" w:rsidRPr="00FC6DDA" w:rsidRDefault="002A083B" w:rsidP="00F25AA8">
            <w:pPr>
              <w:jc w:val="center"/>
            </w:pPr>
          </w:p>
        </w:tc>
        <w:tc>
          <w:tcPr>
            <w:tcW w:w="1065" w:type="dxa"/>
          </w:tcPr>
          <w:p w14:paraId="363D81D0" w14:textId="77777777" w:rsidR="002A083B" w:rsidRPr="00FC6DDA" w:rsidRDefault="002A083B" w:rsidP="00F25AA8">
            <w:pPr>
              <w:jc w:val="center"/>
              <w:rPr>
                <w:lang w:val="en-US"/>
              </w:rPr>
            </w:pPr>
            <w:r w:rsidRPr="00FC6DDA">
              <w:rPr>
                <w:lang w:val="en-US"/>
              </w:rPr>
              <w:t>2020</w:t>
            </w:r>
          </w:p>
        </w:tc>
        <w:tc>
          <w:tcPr>
            <w:tcW w:w="1066" w:type="dxa"/>
          </w:tcPr>
          <w:p w14:paraId="70A9D8CF" w14:textId="77777777" w:rsidR="002A083B" w:rsidRPr="00FC6DDA" w:rsidRDefault="002A083B" w:rsidP="00F25AA8">
            <w:pPr>
              <w:jc w:val="center"/>
              <w:rPr>
                <w:lang w:val="en-US"/>
              </w:rPr>
            </w:pPr>
            <w:r w:rsidRPr="00FC6DDA">
              <w:t>20</w:t>
            </w:r>
            <w:r w:rsidRPr="00FC6DDA">
              <w:rPr>
                <w:lang w:val="en-US"/>
              </w:rPr>
              <w:t>21</w:t>
            </w:r>
          </w:p>
        </w:tc>
        <w:tc>
          <w:tcPr>
            <w:tcW w:w="1065" w:type="dxa"/>
          </w:tcPr>
          <w:p w14:paraId="3EEF6BA5" w14:textId="77777777" w:rsidR="002A083B" w:rsidRPr="00FC6DDA" w:rsidRDefault="002A083B" w:rsidP="00F25AA8">
            <w:pPr>
              <w:jc w:val="center"/>
              <w:rPr>
                <w:lang w:val="en-US"/>
              </w:rPr>
            </w:pPr>
            <w:r w:rsidRPr="00FC6DDA">
              <w:t>20</w:t>
            </w:r>
            <w:r w:rsidRPr="00FC6DDA">
              <w:rPr>
                <w:lang w:val="en-US"/>
              </w:rPr>
              <w:t>22</w:t>
            </w:r>
          </w:p>
        </w:tc>
        <w:tc>
          <w:tcPr>
            <w:tcW w:w="1066" w:type="dxa"/>
          </w:tcPr>
          <w:p w14:paraId="020168E5" w14:textId="77777777" w:rsidR="002A083B" w:rsidRPr="00FC6DDA" w:rsidRDefault="002A083B" w:rsidP="00F25AA8">
            <w:pPr>
              <w:jc w:val="center"/>
              <w:rPr>
                <w:lang w:val="en-US"/>
              </w:rPr>
            </w:pPr>
            <w:r w:rsidRPr="00FC6DDA">
              <w:t>20</w:t>
            </w:r>
            <w:r w:rsidRPr="00FC6DDA">
              <w:rPr>
                <w:lang w:val="en-US"/>
              </w:rPr>
              <w:t>23</w:t>
            </w:r>
          </w:p>
        </w:tc>
        <w:tc>
          <w:tcPr>
            <w:tcW w:w="1065" w:type="dxa"/>
          </w:tcPr>
          <w:p w14:paraId="0B21C567" w14:textId="77777777" w:rsidR="002A083B" w:rsidRPr="00FC6DDA" w:rsidRDefault="002A083B" w:rsidP="00F25AA8">
            <w:pPr>
              <w:jc w:val="center"/>
              <w:rPr>
                <w:lang w:val="en-US"/>
              </w:rPr>
            </w:pPr>
            <w:r w:rsidRPr="00FC6DDA">
              <w:t>20</w:t>
            </w:r>
            <w:r w:rsidRPr="00FC6DDA">
              <w:rPr>
                <w:lang w:val="en-US"/>
              </w:rPr>
              <w:t>24</w:t>
            </w:r>
          </w:p>
        </w:tc>
        <w:tc>
          <w:tcPr>
            <w:tcW w:w="1066" w:type="dxa"/>
          </w:tcPr>
          <w:p w14:paraId="299EBA57" w14:textId="77777777" w:rsidR="002A083B" w:rsidRPr="00FC6DDA" w:rsidRDefault="002A083B" w:rsidP="00F25AA8">
            <w:pPr>
              <w:jc w:val="center"/>
              <w:rPr>
                <w:lang w:val="en-US"/>
              </w:rPr>
            </w:pPr>
            <w:r w:rsidRPr="00FC6DDA">
              <w:rPr>
                <w:lang w:val="en-US"/>
              </w:rPr>
              <w:t>2025</w:t>
            </w:r>
          </w:p>
        </w:tc>
      </w:tr>
      <w:tr w:rsidR="002A083B" w:rsidRPr="00FC6DDA" w14:paraId="3CC2F8A6" w14:textId="77777777" w:rsidTr="002A083B">
        <w:tc>
          <w:tcPr>
            <w:tcW w:w="3235" w:type="dxa"/>
          </w:tcPr>
          <w:p w14:paraId="6E348B97" w14:textId="698567D0" w:rsidR="002A083B" w:rsidRPr="00FC6DDA" w:rsidRDefault="000C1DD2" w:rsidP="00F25AA8">
            <w:pPr>
              <w:rPr>
                <w:lang w:val="en-US"/>
              </w:rPr>
            </w:pPr>
            <w:r w:rsidRPr="00FC6DDA">
              <w:rPr>
                <w:lang w:val="en-US"/>
              </w:rPr>
              <w:t xml:space="preserve">Tourist services, </w:t>
            </w:r>
            <w:r w:rsidR="00862590" w:rsidRPr="00FC6DDA">
              <w:rPr>
                <w:lang w:val="en-US"/>
              </w:rPr>
              <w:t xml:space="preserve">a </w:t>
            </w:r>
            <w:r w:rsidRPr="00FC6DDA">
              <w:rPr>
                <w:lang w:val="en-US"/>
              </w:rPr>
              <w:t>billion tenge (plan)</w:t>
            </w:r>
          </w:p>
        </w:tc>
        <w:tc>
          <w:tcPr>
            <w:tcW w:w="1065" w:type="dxa"/>
            <w:vAlign w:val="bottom"/>
          </w:tcPr>
          <w:p w14:paraId="70DC23BA" w14:textId="77777777" w:rsidR="002A083B" w:rsidRPr="00FC6DDA" w:rsidRDefault="002A083B" w:rsidP="00F25AA8">
            <w:pPr>
              <w:jc w:val="center"/>
            </w:pPr>
            <w:r w:rsidRPr="00FC6DDA">
              <w:t>1,72</w:t>
            </w:r>
          </w:p>
        </w:tc>
        <w:tc>
          <w:tcPr>
            <w:tcW w:w="1066" w:type="dxa"/>
            <w:vAlign w:val="bottom"/>
          </w:tcPr>
          <w:p w14:paraId="48538AC9" w14:textId="77777777" w:rsidR="002A083B" w:rsidRPr="00FC6DDA" w:rsidRDefault="002A083B" w:rsidP="00F25AA8">
            <w:pPr>
              <w:jc w:val="center"/>
            </w:pPr>
            <w:r w:rsidRPr="00FC6DDA">
              <w:t>4,77</w:t>
            </w:r>
          </w:p>
        </w:tc>
        <w:tc>
          <w:tcPr>
            <w:tcW w:w="1065" w:type="dxa"/>
            <w:vAlign w:val="bottom"/>
          </w:tcPr>
          <w:p w14:paraId="4800105E" w14:textId="77777777" w:rsidR="002A083B" w:rsidRPr="00FC6DDA" w:rsidRDefault="002A083B" w:rsidP="00F25AA8">
            <w:pPr>
              <w:jc w:val="center"/>
            </w:pPr>
            <w:r w:rsidRPr="00FC6DDA">
              <w:t>7,90</w:t>
            </w:r>
          </w:p>
        </w:tc>
        <w:tc>
          <w:tcPr>
            <w:tcW w:w="1066" w:type="dxa"/>
            <w:vAlign w:val="bottom"/>
          </w:tcPr>
          <w:p w14:paraId="4580CDB3" w14:textId="77777777" w:rsidR="002A083B" w:rsidRPr="00FC6DDA" w:rsidRDefault="002A083B" w:rsidP="00F25AA8">
            <w:pPr>
              <w:jc w:val="center"/>
            </w:pPr>
            <w:r w:rsidRPr="00FC6DDA">
              <w:t>11,49</w:t>
            </w:r>
          </w:p>
        </w:tc>
        <w:tc>
          <w:tcPr>
            <w:tcW w:w="1065" w:type="dxa"/>
            <w:vAlign w:val="bottom"/>
          </w:tcPr>
          <w:p w14:paraId="796026EA" w14:textId="77777777" w:rsidR="002A083B" w:rsidRPr="00FC6DDA" w:rsidRDefault="002A083B" w:rsidP="00F25AA8">
            <w:pPr>
              <w:jc w:val="center"/>
            </w:pPr>
            <w:r w:rsidRPr="00FC6DDA">
              <w:t>15,10</w:t>
            </w:r>
          </w:p>
        </w:tc>
        <w:tc>
          <w:tcPr>
            <w:tcW w:w="1066" w:type="dxa"/>
            <w:vAlign w:val="bottom"/>
          </w:tcPr>
          <w:p w14:paraId="78C1C582" w14:textId="77777777" w:rsidR="002A083B" w:rsidRPr="00FC6DDA" w:rsidRDefault="002A083B" w:rsidP="00F25AA8">
            <w:pPr>
              <w:jc w:val="center"/>
            </w:pPr>
            <w:r w:rsidRPr="00FC6DDA">
              <w:t>19,66</w:t>
            </w:r>
          </w:p>
        </w:tc>
      </w:tr>
      <w:tr w:rsidR="002A083B" w:rsidRPr="00FC6DDA" w14:paraId="74F981CA" w14:textId="77777777" w:rsidTr="002A083B">
        <w:tc>
          <w:tcPr>
            <w:tcW w:w="3235" w:type="dxa"/>
          </w:tcPr>
          <w:p w14:paraId="1EC9CBDA" w14:textId="07B393B7" w:rsidR="002A083B" w:rsidRPr="00FC6DDA" w:rsidRDefault="000C1DD2" w:rsidP="00F25AA8">
            <w:r w:rsidRPr="00FC6DDA">
              <w:t>Return on assets, coeff.</w:t>
            </w:r>
          </w:p>
        </w:tc>
        <w:tc>
          <w:tcPr>
            <w:tcW w:w="1065" w:type="dxa"/>
            <w:vAlign w:val="center"/>
          </w:tcPr>
          <w:p w14:paraId="3E9E31FA" w14:textId="77777777" w:rsidR="002A083B" w:rsidRPr="00FC6DDA" w:rsidRDefault="002A083B" w:rsidP="00F25AA8">
            <w:pPr>
              <w:jc w:val="center"/>
            </w:pPr>
            <w:r w:rsidRPr="00FC6DDA">
              <w:t>0,34</w:t>
            </w:r>
          </w:p>
        </w:tc>
        <w:tc>
          <w:tcPr>
            <w:tcW w:w="1066" w:type="dxa"/>
            <w:vAlign w:val="center"/>
          </w:tcPr>
          <w:p w14:paraId="55F01E1C" w14:textId="77777777" w:rsidR="002A083B" w:rsidRPr="00FC6DDA" w:rsidRDefault="002A083B" w:rsidP="00F25AA8">
            <w:pPr>
              <w:jc w:val="center"/>
            </w:pPr>
            <w:r w:rsidRPr="00FC6DDA">
              <w:t>0,38</w:t>
            </w:r>
          </w:p>
        </w:tc>
        <w:tc>
          <w:tcPr>
            <w:tcW w:w="1065" w:type="dxa"/>
            <w:vAlign w:val="center"/>
          </w:tcPr>
          <w:p w14:paraId="77BFED4A" w14:textId="77777777" w:rsidR="002A083B" w:rsidRPr="00FC6DDA" w:rsidRDefault="002A083B" w:rsidP="00F25AA8">
            <w:pPr>
              <w:jc w:val="center"/>
            </w:pPr>
            <w:r w:rsidRPr="00FC6DDA">
              <w:t>0,42</w:t>
            </w:r>
          </w:p>
        </w:tc>
        <w:tc>
          <w:tcPr>
            <w:tcW w:w="1066" w:type="dxa"/>
            <w:vAlign w:val="center"/>
          </w:tcPr>
          <w:p w14:paraId="18FF16E9" w14:textId="77777777" w:rsidR="002A083B" w:rsidRPr="00FC6DDA" w:rsidRDefault="002A083B" w:rsidP="00F25AA8">
            <w:pPr>
              <w:jc w:val="center"/>
            </w:pPr>
            <w:r w:rsidRPr="00FC6DDA">
              <w:rPr>
                <w:lang w:val="en-US"/>
              </w:rPr>
              <w:t>0,46</w:t>
            </w:r>
          </w:p>
        </w:tc>
        <w:tc>
          <w:tcPr>
            <w:tcW w:w="1065" w:type="dxa"/>
            <w:vAlign w:val="center"/>
          </w:tcPr>
          <w:p w14:paraId="0D1EB932" w14:textId="77777777" w:rsidR="002A083B" w:rsidRPr="00FC6DDA" w:rsidRDefault="002A083B" w:rsidP="00F25AA8">
            <w:pPr>
              <w:jc w:val="center"/>
            </w:pPr>
            <w:r w:rsidRPr="00FC6DDA">
              <w:rPr>
                <w:lang w:val="en-US"/>
              </w:rPr>
              <w:t>0,5</w:t>
            </w:r>
          </w:p>
        </w:tc>
        <w:tc>
          <w:tcPr>
            <w:tcW w:w="1066" w:type="dxa"/>
            <w:vAlign w:val="center"/>
          </w:tcPr>
          <w:p w14:paraId="6EB370C1" w14:textId="77777777" w:rsidR="002A083B" w:rsidRPr="00FC6DDA" w:rsidRDefault="002A083B" w:rsidP="00F25AA8">
            <w:pPr>
              <w:jc w:val="center"/>
            </w:pPr>
            <w:r w:rsidRPr="00FC6DDA">
              <w:rPr>
                <w:lang w:val="en-US"/>
              </w:rPr>
              <w:t>0,54</w:t>
            </w:r>
          </w:p>
        </w:tc>
      </w:tr>
      <w:tr w:rsidR="002A083B" w:rsidRPr="00FC6DDA" w14:paraId="57C21403" w14:textId="77777777" w:rsidTr="002A083B">
        <w:tc>
          <w:tcPr>
            <w:tcW w:w="3235" w:type="dxa"/>
          </w:tcPr>
          <w:p w14:paraId="22F50EF5" w14:textId="3DB58E40" w:rsidR="002A083B" w:rsidRPr="00FC6DDA" w:rsidRDefault="000C1DD2" w:rsidP="00F25AA8">
            <w:pPr>
              <w:rPr>
                <w:lang w:val="en-US"/>
              </w:rPr>
            </w:pPr>
            <w:r w:rsidRPr="00FC6DDA">
              <w:rPr>
                <w:lang w:val="en-US"/>
              </w:rPr>
              <w:t xml:space="preserve">Dynamics of investments in fixed assets, </w:t>
            </w:r>
            <w:r w:rsidR="00862590" w:rsidRPr="00FC6DDA">
              <w:rPr>
                <w:lang w:val="en-US"/>
              </w:rPr>
              <w:t xml:space="preserve">a </w:t>
            </w:r>
            <w:r w:rsidRPr="00FC6DDA">
              <w:rPr>
                <w:lang w:val="en-US"/>
              </w:rPr>
              <w:t>thousand tenge</w:t>
            </w:r>
          </w:p>
        </w:tc>
        <w:tc>
          <w:tcPr>
            <w:tcW w:w="1065" w:type="dxa"/>
            <w:vAlign w:val="center"/>
          </w:tcPr>
          <w:p w14:paraId="2E4B8820" w14:textId="77777777" w:rsidR="002A083B" w:rsidRPr="00FC6DDA" w:rsidRDefault="002A083B" w:rsidP="00F25AA8">
            <w:pPr>
              <w:jc w:val="center"/>
            </w:pPr>
            <w:r w:rsidRPr="00FC6DDA">
              <w:t>-</w:t>
            </w:r>
          </w:p>
        </w:tc>
        <w:tc>
          <w:tcPr>
            <w:tcW w:w="1066" w:type="dxa"/>
            <w:vAlign w:val="bottom"/>
          </w:tcPr>
          <w:p w14:paraId="22B1F32B" w14:textId="77777777" w:rsidR="002A083B" w:rsidRPr="00FC6DDA" w:rsidRDefault="002A083B" w:rsidP="00F25AA8">
            <w:pPr>
              <w:ind w:left="-57" w:right="-57"/>
              <w:jc w:val="center"/>
            </w:pPr>
            <w:r w:rsidRPr="00FC6DDA">
              <w:t>1 812 600</w:t>
            </w:r>
          </w:p>
        </w:tc>
        <w:tc>
          <w:tcPr>
            <w:tcW w:w="1065" w:type="dxa"/>
            <w:vAlign w:val="bottom"/>
          </w:tcPr>
          <w:p w14:paraId="1FCA6D4C" w14:textId="77777777" w:rsidR="002A083B" w:rsidRPr="00FC6DDA" w:rsidRDefault="002A083B" w:rsidP="00F25AA8">
            <w:pPr>
              <w:ind w:left="-57" w:right="-57"/>
              <w:jc w:val="center"/>
            </w:pPr>
            <w:r w:rsidRPr="00FC6DDA">
              <w:t>3 318 000</w:t>
            </w:r>
          </w:p>
        </w:tc>
        <w:tc>
          <w:tcPr>
            <w:tcW w:w="1066" w:type="dxa"/>
            <w:vAlign w:val="bottom"/>
          </w:tcPr>
          <w:p w14:paraId="33CFCAB0" w14:textId="77777777" w:rsidR="002A083B" w:rsidRPr="00FC6DDA" w:rsidRDefault="002A083B" w:rsidP="00F25AA8">
            <w:pPr>
              <w:ind w:left="-57" w:right="-57"/>
              <w:jc w:val="center"/>
            </w:pPr>
            <w:r w:rsidRPr="00FC6DDA">
              <w:t>5 285 400</w:t>
            </w:r>
          </w:p>
        </w:tc>
        <w:tc>
          <w:tcPr>
            <w:tcW w:w="1065" w:type="dxa"/>
            <w:vAlign w:val="bottom"/>
          </w:tcPr>
          <w:p w14:paraId="459F7FC1" w14:textId="77777777" w:rsidR="002A083B" w:rsidRPr="00FC6DDA" w:rsidRDefault="002A083B" w:rsidP="00F25AA8">
            <w:pPr>
              <w:ind w:left="-57" w:right="-57"/>
              <w:jc w:val="center"/>
            </w:pPr>
            <w:r w:rsidRPr="00FC6DDA">
              <w:t>7 550 000</w:t>
            </w:r>
          </w:p>
        </w:tc>
        <w:tc>
          <w:tcPr>
            <w:tcW w:w="1066" w:type="dxa"/>
            <w:vAlign w:val="bottom"/>
          </w:tcPr>
          <w:p w14:paraId="12F4E356" w14:textId="77777777" w:rsidR="002A083B" w:rsidRPr="00FC6DDA" w:rsidRDefault="002A083B" w:rsidP="00F25AA8">
            <w:pPr>
              <w:ind w:left="-57" w:right="-57"/>
              <w:jc w:val="center"/>
            </w:pPr>
            <w:r w:rsidRPr="00FC6DDA">
              <w:t>10 616 400</w:t>
            </w:r>
          </w:p>
        </w:tc>
      </w:tr>
      <w:tr w:rsidR="002A083B" w:rsidRPr="00FC6DDA" w14:paraId="661C0C29" w14:textId="77777777" w:rsidTr="002A083B">
        <w:tc>
          <w:tcPr>
            <w:tcW w:w="3235" w:type="dxa"/>
            <w:vAlign w:val="center"/>
          </w:tcPr>
          <w:p w14:paraId="4B8692A7" w14:textId="3DEC7798" w:rsidR="002A083B" w:rsidRPr="00FC6DDA" w:rsidRDefault="000C1DD2" w:rsidP="00F25AA8">
            <w:pPr>
              <w:rPr>
                <w:lang w:val="en-US"/>
              </w:rPr>
            </w:pPr>
            <w:r w:rsidRPr="00FC6DDA">
              <w:rPr>
                <w:lang w:val="en-US"/>
              </w:rPr>
              <w:t xml:space="preserve">Investments in HR and process administration, </w:t>
            </w:r>
            <w:r w:rsidR="00862590" w:rsidRPr="00FC6DDA">
              <w:rPr>
                <w:lang w:val="en-US"/>
              </w:rPr>
              <w:t xml:space="preserve">a </w:t>
            </w:r>
            <w:r w:rsidRPr="00FC6DDA">
              <w:rPr>
                <w:lang w:val="en-US"/>
              </w:rPr>
              <w:t>thousand tenge (1%)</w:t>
            </w:r>
          </w:p>
        </w:tc>
        <w:tc>
          <w:tcPr>
            <w:tcW w:w="1065" w:type="dxa"/>
            <w:vAlign w:val="bottom"/>
          </w:tcPr>
          <w:p w14:paraId="04B4E92A" w14:textId="77777777" w:rsidR="002A083B" w:rsidRPr="00FC6DDA" w:rsidRDefault="002A083B" w:rsidP="00F25AA8">
            <w:pPr>
              <w:jc w:val="center"/>
            </w:pPr>
            <w:r w:rsidRPr="00FC6DDA">
              <w:t>-</w:t>
            </w:r>
          </w:p>
        </w:tc>
        <w:tc>
          <w:tcPr>
            <w:tcW w:w="1066" w:type="dxa"/>
            <w:vAlign w:val="bottom"/>
          </w:tcPr>
          <w:p w14:paraId="2B61913A" w14:textId="77777777" w:rsidR="002A083B" w:rsidRPr="00FC6DDA" w:rsidRDefault="002A083B" w:rsidP="00F25AA8">
            <w:pPr>
              <w:ind w:left="-170" w:right="-170"/>
              <w:jc w:val="center"/>
            </w:pPr>
            <w:r w:rsidRPr="00FC6DDA">
              <w:t>9 063,00</w:t>
            </w:r>
          </w:p>
        </w:tc>
        <w:tc>
          <w:tcPr>
            <w:tcW w:w="1065" w:type="dxa"/>
            <w:vAlign w:val="bottom"/>
          </w:tcPr>
          <w:p w14:paraId="590D34E9" w14:textId="77777777" w:rsidR="002A083B" w:rsidRPr="00FC6DDA" w:rsidRDefault="002A083B" w:rsidP="00F25AA8">
            <w:pPr>
              <w:ind w:left="-170" w:right="-170"/>
              <w:jc w:val="center"/>
            </w:pPr>
            <w:r w:rsidRPr="00FC6DDA">
              <w:t>16 590,00</w:t>
            </w:r>
          </w:p>
        </w:tc>
        <w:tc>
          <w:tcPr>
            <w:tcW w:w="1066" w:type="dxa"/>
            <w:vAlign w:val="bottom"/>
          </w:tcPr>
          <w:p w14:paraId="6AB3BC7D" w14:textId="77777777" w:rsidR="002A083B" w:rsidRPr="00FC6DDA" w:rsidRDefault="002A083B" w:rsidP="00F25AA8">
            <w:pPr>
              <w:ind w:left="-170" w:right="-170"/>
              <w:jc w:val="center"/>
            </w:pPr>
            <w:r w:rsidRPr="00FC6DDA">
              <w:t>26 427,00</w:t>
            </w:r>
          </w:p>
        </w:tc>
        <w:tc>
          <w:tcPr>
            <w:tcW w:w="1065" w:type="dxa"/>
            <w:vAlign w:val="bottom"/>
          </w:tcPr>
          <w:p w14:paraId="0C52EC31" w14:textId="77777777" w:rsidR="002A083B" w:rsidRPr="00FC6DDA" w:rsidRDefault="002A083B" w:rsidP="00F25AA8">
            <w:pPr>
              <w:ind w:left="-170" w:right="-170"/>
              <w:jc w:val="center"/>
            </w:pPr>
            <w:r w:rsidRPr="00FC6DDA">
              <w:t>37 750,00</w:t>
            </w:r>
          </w:p>
        </w:tc>
        <w:tc>
          <w:tcPr>
            <w:tcW w:w="1066" w:type="dxa"/>
            <w:vAlign w:val="bottom"/>
          </w:tcPr>
          <w:p w14:paraId="643BD30A" w14:textId="77777777" w:rsidR="002A083B" w:rsidRPr="00FC6DDA" w:rsidRDefault="002A083B" w:rsidP="00F25AA8">
            <w:pPr>
              <w:ind w:left="-170" w:right="-170"/>
              <w:jc w:val="center"/>
            </w:pPr>
            <w:r w:rsidRPr="00FC6DDA">
              <w:t>53 082,00</w:t>
            </w:r>
          </w:p>
        </w:tc>
      </w:tr>
      <w:tr w:rsidR="002A083B" w:rsidRPr="00FC6DDA" w14:paraId="4C4704C4" w14:textId="77777777" w:rsidTr="002A083B">
        <w:tc>
          <w:tcPr>
            <w:tcW w:w="3235" w:type="dxa"/>
            <w:vAlign w:val="center"/>
          </w:tcPr>
          <w:p w14:paraId="5D0B5F74" w14:textId="33B4E4AD" w:rsidR="002A083B" w:rsidRPr="00FC6DDA" w:rsidRDefault="000C1DD2" w:rsidP="00F25AA8">
            <w:pPr>
              <w:rPr>
                <w:lang w:val="en-US"/>
              </w:rPr>
            </w:pPr>
            <w:r w:rsidRPr="00FC6DDA">
              <w:rPr>
                <w:lang w:val="en-US"/>
              </w:rPr>
              <w:t xml:space="preserve">Total investments, </w:t>
            </w:r>
            <w:r w:rsidR="00862590" w:rsidRPr="00FC6DDA">
              <w:rPr>
                <w:lang w:val="en-US"/>
              </w:rPr>
              <w:t xml:space="preserve">a </w:t>
            </w:r>
            <w:r w:rsidRPr="00FC6DDA">
              <w:rPr>
                <w:lang w:val="en-US"/>
              </w:rPr>
              <w:t>thousand tenge</w:t>
            </w:r>
          </w:p>
        </w:tc>
        <w:tc>
          <w:tcPr>
            <w:tcW w:w="1065" w:type="dxa"/>
            <w:vAlign w:val="bottom"/>
          </w:tcPr>
          <w:p w14:paraId="1859C7D3" w14:textId="77777777" w:rsidR="002A083B" w:rsidRPr="00FC6DDA" w:rsidRDefault="002A083B" w:rsidP="00F25AA8">
            <w:pPr>
              <w:jc w:val="center"/>
            </w:pPr>
            <w:r w:rsidRPr="00FC6DDA">
              <w:t>-</w:t>
            </w:r>
          </w:p>
        </w:tc>
        <w:tc>
          <w:tcPr>
            <w:tcW w:w="1066" w:type="dxa"/>
            <w:vAlign w:val="bottom"/>
          </w:tcPr>
          <w:p w14:paraId="4753A598" w14:textId="77777777" w:rsidR="002A083B" w:rsidRPr="00FC6DDA" w:rsidRDefault="002A083B" w:rsidP="00F25AA8">
            <w:pPr>
              <w:ind w:left="-170" w:right="-170"/>
              <w:jc w:val="center"/>
            </w:pPr>
            <w:r w:rsidRPr="00FC6DDA">
              <w:t>1 821 663</w:t>
            </w:r>
          </w:p>
        </w:tc>
        <w:tc>
          <w:tcPr>
            <w:tcW w:w="1065" w:type="dxa"/>
            <w:vAlign w:val="bottom"/>
          </w:tcPr>
          <w:p w14:paraId="6F049E0B" w14:textId="77777777" w:rsidR="002A083B" w:rsidRPr="00FC6DDA" w:rsidRDefault="002A083B" w:rsidP="00F25AA8">
            <w:pPr>
              <w:ind w:left="-170" w:right="-170"/>
              <w:jc w:val="center"/>
            </w:pPr>
            <w:r w:rsidRPr="00FC6DDA">
              <w:t>3 334 590</w:t>
            </w:r>
          </w:p>
        </w:tc>
        <w:tc>
          <w:tcPr>
            <w:tcW w:w="1066" w:type="dxa"/>
            <w:vAlign w:val="bottom"/>
          </w:tcPr>
          <w:p w14:paraId="1F30066E" w14:textId="77777777" w:rsidR="002A083B" w:rsidRPr="00FC6DDA" w:rsidRDefault="002A083B" w:rsidP="00F25AA8">
            <w:pPr>
              <w:ind w:left="-170" w:right="-170"/>
              <w:jc w:val="center"/>
            </w:pPr>
            <w:r w:rsidRPr="00FC6DDA">
              <w:t>5 311 827</w:t>
            </w:r>
          </w:p>
        </w:tc>
        <w:tc>
          <w:tcPr>
            <w:tcW w:w="1065" w:type="dxa"/>
            <w:vAlign w:val="bottom"/>
          </w:tcPr>
          <w:p w14:paraId="10737C4F" w14:textId="77777777" w:rsidR="002A083B" w:rsidRPr="00FC6DDA" w:rsidRDefault="002A083B" w:rsidP="00F25AA8">
            <w:pPr>
              <w:ind w:left="-170" w:right="-170"/>
              <w:jc w:val="center"/>
            </w:pPr>
            <w:r w:rsidRPr="00FC6DDA">
              <w:t>7 587 750</w:t>
            </w:r>
          </w:p>
        </w:tc>
        <w:tc>
          <w:tcPr>
            <w:tcW w:w="1066" w:type="dxa"/>
            <w:vAlign w:val="bottom"/>
          </w:tcPr>
          <w:p w14:paraId="3974AE14" w14:textId="77777777" w:rsidR="002A083B" w:rsidRPr="00FC6DDA" w:rsidRDefault="002A083B" w:rsidP="00F25AA8">
            <w:pPr>
              <w:ind w:left="-170" w:right="-170"/>
              <w:jc w:val="center"/>
            </w:pPr>
            <w:r w:rsidRPr="00FC6DDA">
              <w:t>10 669 482</w:t>
            </w:r>
          </w:p>
        </w:tc>
      </w:tr>
    </w:tbl>
    <w:p w14:paraId="6628EF1C" w14:textId="77777777" w:rsidR="008850F3" w:rsidRPr="00FC6DDA" w:rsidRDefault="008850F3" w:rsidP="008850F3">
      <w:pPr>
        <w:rPr>
          <w:sz w:val="20"/>
          <w:szCs w:val="20"/>
        </w:rPr>
      </w:pPr>
      <w:r w:rsidRPr="00FC6DDA">
        <w:rPr>
          <w:sz w:val="20"/>
          <w:szCs w:val="20"/>
          <w:lang w:val="en-US"/>
        </w:rPr>
        <w:t xml:space="preserve">Note – </w:t>
      </w:r>
      <w:r w:rsidRPr="00FC6DDA">
        <w:rPr>
          <w:sz w:val="20"/>
          <w:szCs w:val="20"/>
        </w:rPr>
        <w:t>Compiled by the authors</w:t>
      </w:r>
      <w:r w:rsidRPr="00FC6DDA">
        <w:rPr>
          <w:rFonts w:ascii="Helvetica" w:hAnsi="Helvetica"/>
          <w:sz w:val="20"/>
          <w:szCs w:val="20"/>
          <w:shd w:val="clear" w:color="auto" w:fill="F5F5F5"/>
        </w:rPr>
        <w:t xml:space="preserve"> </w:t>
      </w:r>
    </w:p>
    <w:p w14:paraId="5EE0DC91" w14:textId="4E82C81A" w:rsidR="002A083B" w:rsidRPr="00FC6DDA" w:rsidRDefault="002A083B" w:rsidP="002A083B">
      <w:pPr>
        <w:rPr>
          <w:sz w:val="20"/>
          <w:szCs w:val="20"/>
          <w:lang w:val="en-US"/>
        </w:rPr>
      </w:pPr>
    </w:p>
    <w:p w14:paraId="07472D02" w14:textId="30F3D284" w:rsidR="002A083B" w:rsidRPr="00FC6DDA" w:rsidRDefault="002A083B" w:rsidP="002A083B">
      <w:pPr>
        <w:ind w:firstLine="567"/>
        <w:jc w:val="both"/>
        <w:rPr>
          <w:lang w:val="en-US"/>
        </w:rPr>
      </w:pPr>
      <w:r w:rsidRPr="00FC6DDA">
        <w:rPr>
          <w:lang w:val="en-US"/>
        </w:rPr>
        <w:t xml:space="preserve"> </w:t>
      </w:r>
      <w:r w:rsidR="000C1DD2" w:rsidRPr="00FC6DDA">
        <w:rPr>
          <w:lang w:val="en-US"/>
        </w:rPr>
        <w:t>Calculations show that the total need for investments for the development of the tourism industry in Pavlodar region is about 28</w:t>
      </w:r>
      <w:r w:rsidR="00FC6DDA" w:rsidRPr="00FC6DDA">
        <w:rPr>
          <w:lang w:val="en-US"/>
        </w:rPr>
        <w:t>.</w:t>
      </w:r>
      <w:r w:rsidR="000C1DD2" w:rsidRPr="00FC6DDA">
        <w:rPr>
          <w:lang w:val="en-US"/>
        </w:rPr>
        <w:t>7 billion tenge, calculated for a strategic period of 5 years. This investment can be financed from all potential possible sources (government budget, private investment, foreign investment, corporations)</w:t>
      </w:r>
      <w:r w:rsidR="00F01046" w:rsidRPr="00FC6DDA">
        <w:rPr>
          <w:lang w:val="en-US"/>
        </w:rPr>
        <w:t>.</w:t>
      </w:r>
    </w:p>
    <w:p w14:paraId="1A4A1310" w14:textId="77777777" w:rsidR="00DF30EC" w:rsidRPr="00FC6DDA" w:rsidRDefault="00DF30EC" w:rsidP="00DF30EC">
      <w:pPr>
        <w:ind w:firstLine="567"/>
        <w:jc w:val="both"/>
        <w:rPr>
          <w:lang w:val="en-US"/>
        </w:rPr>
      </w:pPr>
      <w:r w:rsidRPr="00FC6DDA">
        <w:rPr>
          <w:lang w:val="en-US"/>
        </w:rPr>
        <w:t>Investments planned and implemented in practice in the development of the tourism industry of Pavlodar region will intensify the trends of its development and create new quality conditions for the economic growth of the region.</w:t>
      </w:r>
    </w:p>
    <w:p w14:paraId="2D1C3474" w14:textId="77777777" w:rsidR="00FD499A" w:rsidRPr="00FC6DDA" w:rsidRDefault="00FD499A" w:rsidP="00FD499A">
      <w:pPr>
        <w:widowControl w:val="0"/>
        <w:ind w:firstLine="567"/>
        <w:jc w:val="both"/>
        <w:rPr>
          <w:rStyle w:val="jlqj4b"/>
          <w:lang w:val="en-US"/>
        </w:rPr>
      </w:pPr>
      <w:r w:rsidRPr="00FC6DDA">
        <w:rPr>
          <w:lang w:val="en-US"/>
        </w:rPr>
        <w:t xml:space="preserve">The presented investment planning methodology is of great importance for the scientific substantiation of the ways of development of the tourism industry in all regions of the Republic of Kazakhstan. </w:t>
      </w:r>
      <w:r w:rsidRPr="00FC6DDA">
        <w:rPr>
          <w:rStyle w:val="jlqj4b"/>
          <w:lang w:val="en-US"/>
        </w:rPr>
        <w:t xml:space="preserve">Investments, the volume of tourist services, should develop not only from a quantitative standpoint, but also have a qualitative impact on the region's economy (growth of the gross regional product, growth in labor productivity and employment). </w:t>
      </w:r>
    </w:p>
    <w:p w14:paraId="6238830D" w14:textId="3F9F3640" w:rsidR="00F01046" w:rsidRPr="00FC6DDA" w:rsidRDefault="000C1DD2" w:rsidP="00F01046">
      <w:pPr>
        <w:widowControl w:val="0"/>
        <w:ind w:firstLine="567"/>
        <w:jc w:val="both"/>
        <w:rPr>
          <w:lang w:val="en-US"/>
        </w:rPr>
      </w:pPr>
      <w:r w:rsidRPr="00FC6DDA">
        <w:rPr>
          <w:b/>
          <w:bCs/>
          <w:lang w:val="en-US"/>
        </w:rPr>
        <w:t>Conclusion</w:t>
      </w:r>
      <w:r w:rsidR="008E5D7C" w:rsidRPr="00FC6DDA">
        <w:rPr>
          <w:b/>
          <w:bCs/>
          <w:lang w:val="en-US"/>
        </w:rPr>
        <w:t>.</w:t>
      </w:r>
      <w:r w:rsidR="008E5D7C" w:rsidRPr="00FC6DDA">
        <w:rPr>
          <w:lang w:val="en-US"/>
        </w:rPr>
        <w:t xml:space="preserve"> </w:t>
      </w:r>
      <w:r w:rsidRPr="00FC6DDA">
        <w:rPr>
          <w:lang w:val="en-US"/>
        </w:rPr>
        <w:t>Research and analysis of general economic trends in the functioning of the tourism industry in Pavlodar region shows that tourism activities and the industry as a whole are at the initial stage of formation and development, despite a rather long period of formation and evolution of market relations in the Republic of Kazakhstan. The tourism industry operates cyclically, which indicates the systemic problems of its development and intensification. Despite this, the use of targeted software tools for reforming the tourism industry allows in the strategic period to significantly improve the quality results of its functioning. By 2025, due to targeted investment attraction in the region's tourism industry, its share in the economy may grow to 0.56%, and the total volume of tourism services will increase 11.4 times. As a consequence, there will be a gradual diversification of the regional economy from the construction industry towards services with high added value</w:t>
      </w:r>
      <w:r w:rsidR="00F01046" w:rsidRPr="00FC6DDA">
        <w:rPr>
          <w:lang w:val="en-US"/>
        </w:rPr>
        <w:t>.</w:t>
      </w:r>
    </w:p>
    <w:p w14:paraId="4A6CD2A7" w14:textId="3C9C6AE6" w:rsidR="008E5D7C" w:rsidRPr="00FC6DDA" w:rsidRDefault="008E5D7C" w:rsidP="00914BB2">
      <w:pPr>
        <w:ind w:firstLine="567"/>
        <w:jc w:val="both"/>
        <w:rPr>
          <w:lang w:val="en-US"/>
        </w:rPr>
      </w:pPr>
    </w:p>
    <w:p w14:paraId="59CDD5C4" w14:textId="6EE6D297" w:rsidR="000C1DD2" w:rsidRPr="00FC6DDA" w:rsidRDefault="000C1DD2" w:rsidP="00FD499A">
      <w:pPr>
        <w:widowControl w:val="0"/>
        <w:ind w:firstLine="567"/>
        <w:jc w:val="both"/>
        <w:rPr>
          <w:b/>
          <w:bCs/>
          <w:lang w:val="en-US"/>
        </w:rPr>
      </w:pPr>
      <w:r w:rsidRPr="00FC6DDA">
        <w:rPr>
          <w:b/>
          <w:bCs/>
          <w:lang w:val="en-US"/>
        </w:rPr>
        <w:t>References</w:t>
      </w:r>
    </w:p>
    <w:p w14:paraId="24ADA7E1" w14:textId="6BEFED3A" w:rsidR="00DB05EB" w:rsidRPr="00FC6DDA" w:rsidRDefault="00DB05EB" w:rsidP="00FD499A">
      <w:pPr>
        <w:widowControl w:val="0"/>
        <w:ind w:firstLine="567"/>
        <w:jc w:val="both"/>
        <w:rPr>
          <w:lang w:val="en-US"/>
        </w:rPr>
      </w:pPr>
      <w:r w:rsidRPr="00FC6DDA">
        <w:rPr>
          <w:lang w:val="en-US"/>
        </w:rPr>
        <w:t xml:space="preserve">1 </w:t>
      </w:r>
      <w:r w:rsidR="000C1DD2" w:rsidRPr="00FC6DDA">
        <w:rPr>
          <w:lang w:val="en-US"/>
        </w:rPr>
        <w:t xml:space="preserve">Uakbaev Sh.U. Tourism as a factor of regional and interregional development. URL: </w:t>
      </w:r>
      <w:r w:rsidR="002F3D22" w:rsidRPr="00FC6DDA">
        <w:rPr>
          <w:lang w:val="en-US"/>
        </w:rPr>
        <w:t xml:space="preserve">https://articlekz.com/article/19846 </w:t>
      </w:r>
      <w:r w:rsidR="000C1DD2" w:rsidRPr="00FC6DDA">
        <w:rPr>
          <w:lang w:val="en-US"/>
        </w:rPr>
        <w:t>(date accessed: 31.01.2021)</w:t>
      </w:r>
      <w:r w:rsidRPr="00FC6DDA">
        <w:rPr>
          <w:lang w:val="en-US"/>
        </w:rPr>
        <w:t>.</w:t>
      </w:r>
    </w:p>
    <w:p w14:paraId="350E2E7E" w14:textId="77777777" w:rsidR="00DB05EB" w:rsidRPr="00FC6DDA" w:rsidRDefault="00DB05EB" w:rsidP="00FD499A">
      <w:pPr>
        <w:pStyle w:val="NormalWeb"/>
        <w:widowControl w:val="0"/>
        <w:spacing w:before="0" w:beforeAutospacing="0" w:after="0" w:afterAutospacing="0"/>
        <w:ind w:firstLine="567"/>
        <w:jc w:val="both"/>
        <w:rPr>
          <w:rStyle w:val="jlqj4b"/>
          <w:lang w:val="en-US"/>
        </w:rPr>
      </w:pPr>
      <w:r w:rsidRPr="00FC6DDA">
        <w:rPr>
          <w:lang w:val="en-US"/>
        </w:rPr>
        <w:t xml:space="preserve">2 Perelygina M. </w:t>
      </w:r>
      <w:r w:rsidRPr="00FC6DDA">
        <w:t>С</w:t>
      </w:r>
      <w:r w:rsidRPr="00FC6DDA">
        <w:rPr>
          <w:lang w:val="en-US"/>
        </w:rPr>
        <w:t xml:space="preserve">ultural distance: visa accessibility approach // Regional tourism: experience, problems, prospects. </w:t>
      </w:r>
      <w:r w:rsidRPr="00FC6DDA">
        <w:rPr>
          <w:rStyle w:val="jlqj4b"/>
          <w:lang w:val="en-US"/>
        </w:rPr>
        <w:t>Collection of scientific articles. Issue 7. (Materials of the V International Scientific Conference «Regional Tourism: Experience, Problems, Prospects», September 27, 2018, Izhevsk). – Izhevsk: Institute for Computer Research, 2018 . – 184 p.</w:t>
      </w:r>
    </w:p>
    <w:p w14:paraId="7C1A63BF" w14:textId="3998FB5F" w:rsidR="00DB05EB" w:rsidRPr="00FC6DDA" w:rsidRDefault="00DB05EB" w:rsidP="00FD499A">
      <w:pPr>
        <w:widowControl w:val="0"/>
        <w:ind w:firstLine="567"/>
        <w:jc w:val="both"/>
        <w:rPr>
          <w:lang w:val="en-US"/>
        </w:rPr>
      </w:pPr>
      <w:r w:rsidRPr="00FC6DDA">
        <w:rPr>
          <w:lang w:val="en-US"/>
        </w:rPr>
        <w:t xml:space="preserve">3 </w:t>
      </w:r>
      <w:r w:rsidR="000C1DD2" w:rsidRPr="00FC6DDA">
        <w:rPr>
          <w:lang w:val="en-US"/>
        </w:rPr>
        <w:t>Novikova N.G., Lebedev K.A., Lebedeva O.E. region</w:t>
      </w:r>
      <w:r w:rsidR="00862590" w:rsidRPr="00FC6DDA">
        <w:rPr>
          <w:lang w:val="en-US"/>
        </w:rPr>
        <w:t>al tourism as a factor of socio</w:t>
      </w:r>
      <w:r w:rsidR="000C1DD2" w:rsidRPr="00FC6DDA">
        <w:rPr>
          <w:lang w:val="en-US"/>
        </w:rPr>
        <w:t xml:space="preserve">economic development of the economy // Bulletin of SUSU. Series </w:t>
      </w:r>
      <w:r w:rsidR="00E87A5E" w:rsidRPr="009820C6">
        <w:rPr>
          <w:lang w:val="en-GB"/>
        </w:rPr>
        <w:t>«</w:t>
      </w:r>
      <w:r w:rsidR="000C1DD2" w:rsidRPr="00FC6DDA">
        <w:rPr>
          <w:lang w:val="en-US"/>
        </w:rPr>
        <w:t>Economics and Management</w:t>
      </w:r>
      <w:r w:rsidR="00E87A5E" w:rsidRPr="009820C6">
        <w:rPr>
          <w:lang w:val="en-GB"/>
        </w:rPr>
        <w:t>»</w:t>
      </w:r>
      <w:r w:rsidR="000C1DD2" w:rsidRPr="00FC6DDA">
        <w:rPr>
          <w:lang w:val="en-US"/>
        </w:rPr>
        <w:t>.</w:t>
      </w:r>
      <w:r w:rsidRPr="00FC6DDA">
        <w:rPr>
          <w:lang w:val="en-US"/>
        </w:rPr>
        <w:t xml:space="preserve">– 2016. – </w:t>
      </w:r>
      <w:r w:rsidRPr="00FC6DDA">
        <w:t>Т</w:t>
      </w:r>
      <w:r w:rsidRPr="00FC6DDA">
        <w:rPr>
          <w:lang w:val="en-US"/>
        </w:rPr>
        <w:t xml:space="preserve">. 10, No 2. – </w:t>
      </w:r>
      <w:r w:rsidR="00F31035" w:rsidRPr="00FC6DDA">
        <w:rPr>
          <w:lang w:val="en-US"/>
        </w:rPr>
        <w:t>p</w:t>
      </w:r>
      <w:r w:rsidRPr="00FC6DDA">
        <w:rPr>
          <w:lang w:val="en-US"/>
        </w:rPr>
        <w:t>. 15 – 21.</w:t>
      </w:r>
    </w:p>
    <w:p w14:paraId="1B719DA3" w14:textId="5E53B447" w:rsidR="00DB05EB" w:rsidRPr="00FC6DDA" w:rsidRDefault="00DB05EB" w:rsidP="00DB05EB">
      <w:pPr>
        <w:ind w:firstLine="567"/>
        <w:rPr>
          <w:lang w:val="en-US"/>
        </w:rPr>
      </w:pPr>
      <w:bookmarkStart w:id="0" w:name="baut0005"/>
      <w:r w:rsidRPr="00FC6DDA">
        <w:rPr>
          <w:lang w:val="en-US"/>
        </w:rPr>
        <w:t>4 Doina D.F</w:t>
      </w:r>
      <w:bookmarkEnd w:id="0"/>
      <w:r w:rsidRPr="00FC6DDA">
        <w:rPr>
          <w:lang w:val="en-US"/>
        </w:rPr>
        <w:t>. Innovative regional cluster, model of tourism development // Procedia economics and finance, 2015 – Volume 23,</w:t>
      </w:r>
      <w:r w:rsidRPr="00FC6DDA">
        <w:rPr>
          <w:rStyle w:val="apple-converted-space"/>
          <w:lang w:val="en-US"/>
        </w:rPr>
        <w:t xml:space="preserve"> </w:t>
      </w:r>
      <w:r w:rsidRPr="00FC6DDA">
        <w:rPr>
          <w:lang w:val="en-US"/>
        </w:rPr>
        <w:t>–</w:t>
      </w:r>
      <w:r w:rsidRPr="00FC6DDA">
        <w:rPr>
          <w:rStyle w:val="apple-converted-space"/>
          <w:lang w:val="en-US"/>
        </w:rPr>
        <w:t xml:space="preserve"> </w:t>
      </w:r>
      <w:r w:rsidRPr="00FC6DDA">
        <w:rPr>
          <w:lang w:val="en-US"/>
        </w:rPr>
        <w:t>P. 744-749. URL: https://doi.org/10.1016/S2212-5671(15)00501-8 (</w:t>
      </w:r>
      <w:r w:rsidR="000C1DD2" w:rsidRPr="00FC6DDA">
        <w:rPr>
          <w:lang w:val="en-US"/>
        </w:rPr>
        <w:t>date accessed</w:t>
      </w:r>
      <w:r w:rsidRPr="00FC6DDA">
        <w:rPr>
          <w:lang w:val="en-US"/>
        </w:rPr>
        <w:t>: 31.01.2021).</w:t>
      </w:r>
    </w:p>
    <w:p w14:paraId="70B92471" w14:textId="3EDC8203" w:rsidR="00DB05EB" w:rsidRPr="00FC6DDA" w:rsidRDefault="00DB05EB" w:rsidP="00DB05EB">
      <w:pPr>
        <w:ind w:firstLine="567"/>
        <w:jc w:val="both"/>
        <w:rPr>
          <w:lang w:val="en-US"/>
        </w:rPr>
      </w:pPr>
      <w:r w:rsidRPr="00FC6DDA">
        <w:rPr>
          <w:lang w:val="en-US"/>
        </w:rPr>
        <w:t xml:space="preserve">5 Calero C., Turner L.W. Regional economic development and tourism: A literature review to highlight future directions for regional tourism research // Tourism Economics. – 2019. – Volume: </w:t>
      </w:r>
      <w:r w:rsidRPr="00FC6DDA">
        <w:rPr>
          <w:lang w:val="en-US"/>
        </w:rPr>
        <w:lastRenderedPageBreak/>
        <w:t xml:space="preserve">26 issue: 1. – P. 3-26. URL: </w:t>
      </w:r>
      <w:hyperlink r:id="rId36" w:history="1">
        <w:r w:rsidRPr="00FC6DDA">
          <w:rPr>
            <w:rStyle w:val="Hyperlink"/>
            <w:color w:val="auto"/>
            <w:u w:val="none"/>
            <w:lang w:val="en-US"/>
          </w:rPr>
          <w:t>https://doi.org/10.1177/1354816619881244</w:t>
        </w:r>
      </w:hyperlink>
      <w:r w:rsidRPr="00FC6DDA">
        <w:rPr>
          <w:lang w:val="en-US"/>
        </w:rPr>
        <w:t xml:space="preserve"> (</w:t>
      </w:r>
      <w:r w:rsidR="00F31035" w:rsidRPr="00FC6DDA">
        <w:rPr>
          <w:lang w:val="en-US"/>
        </w:rPr>
        <w:t>date accessed</w:t>
      </w:r>
      <w:r w:rsidRPr="00FC6DDA">
        <w:rPr>
          <w:lang w:val="en-US"/>
        </w:rPr>
        <w:t>: 31.01.2021).</w:t>
      </w:r>
    </w:p>
    <w:p w14:paraId="28B5E841" w14:textId="17B3D3C8" w:rsidR="00DF30EC" w:rsidRPr="00FC6DDA" w:rsidRDefault="00DF30EC" w:rsidP="00BC126D">
      <w:pPr>
        <w:widowControl w:val="0"/>
        <w:ind w:firstLine="567"/>
        <w:jc w:val="both"/>
        <w:rPr>
          <w:lang w:val="en-US"/>
        </w:rPr>
      </w:pPr>
      <w:r w:rsidRPr="00FC6DDA">
        <w:rPr>
          <w:lang w:val="en-US"/>
        </w:rPr>
        <w:t>6 Cro S., Martins A.</w:t>
      </w:r>
      <w:r w:rsidRPr="00FC6DDA">
        <w:t>М</w:t>
      </w:r>
      <w:r w:rsidRPr="00FC6DDA">
        <w:rPr>
          <w:lang w:val="en-US"/>
        </w:rPr>
        <w:t xml:space="preserve">. Foreign Direct Investment in the tourism sector: The case of France // Tourism Management Perspectives.  – 2020. – Volume 33, P. 11-18. URL: </w:t>
      </w:r>
      <w:hyperlink r:id="rId37" w:tgtFrame="_blank" w:tooltip="Persistent link using digital object identifier" w:history="1">
        <w:r w:rsidRPr="00FC6DDA">
          <w:rPr>
            <w:rStyle w:val="Hyperlink"/>
            <w:color w:val="auto"/>
            <w:u w:val="none"/>
            <w:lang w:val="en-US"/>
          </w:rPr>
          <w:t>https://doi.org/10.1016/j.tmp.2019.100614</w:t>
        </w:r>
      </w:hyperlink>
      <w:r w:rsidR="000A1A20" w:rsidRPr="00FC6DDA">
        <w:rPr>
          <w:rStyle w:val="Hyperlink"/>
          <w:color w:val="auto"/>
          <w:u w:val="none"/>
          <w:lang w:val="en-US"/>
        </w:rPr>
        <w:t xml:space="preserve"> </w:t>
      </w:r>
      <w:r w:rsidR="000A1A20" w:rsidRPr="00FC6DDA">
        <w:rPr>
          <w:lang w:val="en-US"/>
        </w:rPr>
        <w:t>(date accessed: 19.02.2021).</w:t>
      </w:r>
    </w:p>
    <w:p w14:paraId="659BD5A2" w14:textId="53B51D5D" w:rsidR="00DF30EC" w:rsidRPr="00FC6DDA" w:rsidRDefault="00DF30EC" w:rsidP="00BC126D">
      <w:pPr>
        <w:widowControl w:val="0"/>
        <w:ind w:firstLine="567"/>
        <w:jc w:val="both"/>
        <w:rPr>
          <w:lang w:val="en-US"/>
        </w:rPr>
      </w:pPr>
      <w:r w:rsidRPr="00FC6DDA">
        <w:rPr>
          <w:lang w:val="en-US"/>
        </w:rPr>
        <w:t xml:space="preserve">7 Ilie G. Foreign direct investment in tourism sector // Knowledge Horizons – Economics. – 2015. - Volume 7, P. 9–13, URL: </w:t>
      </w:r>
      <w:hyperlink r:id="rId38" w:history="1">
        <w:r w:rsidRPr="00FC6DDA">
          <w:rPr>
            <w:rStyle w:val="Hyperlink"/>
            <w:color w:val="auto"/>
            <w:u w:val="none"/>
            <w:lang w:val="en-US"/>
          </w:rPr>
          <w:t>http://orizonturi.ucdc.ro/arhiva/khe-vol7-nr3-2015/Georgeta_Ilie.pdf</w:t>
        </w:r>
      </w:hyperlink>
      <w:r w:rsidR="000A1A20" w:rsidRPr="00FC6DDA">
        <w:rPr>
          <w:rStyle w:val="Hyperlink"/>
          <w:color w:val="auto"/>
          <w:u w:val="none"/>
          <w:lang w:val="en-US"/>
        </w:rPr>
        <w:t xml:space="preserve"> </w:t>
      </w:r>
      <w:r w:rsidR="000A1A20" w:rsidRPr="00FC6DDA">
        <w:rPr>
          <w:lang w:val="en-US"/>
        </w:rPr>
        <w:t>(date accessed: 19.02.2021).</w:t>
      </w:r>
    </w:p>
    <w:p w14:paraId="265FA7C2" w14:textId="6EC8F132" w:rsidR="00DF30EC" w:rsidRPr="00FC6DDA" w:rsidRDefault="00DF30EC" w:rsidP="00BC126D">
      <w:pPr>
        <w:widowControl w:val="0"/>
        <w:ind w:firstLine="567"/>
        <w:jc w:val="both"/>
        <w:rPr>
          <w:lang w:val="en-US"/>
        </w:rPr>
      </w:pPr>
      <w:r w:rsidRPr="00FC6DDA">
        <w:rPr>
          <w:lang w:val="en-US"/>
        </w:rPr>
        <w:t xml:space="preserve">8 Bezic </w:t>
      </w:r>
      <w:r w:rsidRPr="00FC6DDA">
        <w:t>Н</w:t>
      </w:r>
      <w:r w:rsidRPr="00FC6DDA">
        <w:rPr>
          <w:lang w:val="en-US"/>
        </w:rPr>
        <w:t>., Radic M.N. Tourism foreign direct investment led tourism gross value added: a co-integration and causality analysis of Croatian tourism // Economic Research-Ekonomska Istraživanja. – 2017. - voL. 30, no. 1</w:t>
      </w:r>
      <w:r w:rsidR="002F3D22" w:rsidRPr="00FC6DDA">
        <w:rPr>
          <w:lang w:val="en-US"/>
        </w:rPr>
        <w:t xml:space="preserve">. - </w:t>
      </w:r>
      <w:r w:rsidRPr="00FC6DDA">
        <w:rPr>
          <w:lang w:val="en-US"/>
        </w:rPr>
        <w:t xml:space="preserve">P. 1443–1460, URL: </w:t>
      </w:r>
      <w:hyperlink r:id="rId39" w:history="1">
        <w:r w:rsidRPr="00FC6DDA">
          <w:rPr>
            <w:rStyle w:val="Hyperlink"/>
            <w:color w:val="auto"/>
            <w:u w:val="none"/>
            <w:lang w:val="en-US"/>
          </w:rPr>
          <w:t>https://doi.org/10.1080/1331677X.2017.1340173</w:t>
        </w:r>
      </w:hyperlink>
      <w:r w:rsidR="000A1A20" w:rsidRPr="00FC6DDA">
        <w:rPr>
          <w:rStyle w:val="Hyperlink"/>
          <w:color w:val="auto"/>
          <w:u w:val="none"/>
          <w:lang w:val="en-US"/>
        </w:rPr>
        <w:t xml:space="preserve"> </w:t>
      </w:r>
      <w:r w:rsidR="000A1A20" w:rsidRPr="00FC6DDA">
        <w:rPr>
          <w:lang w:val="en-US"/>
        </w:rPr>
        <w:t>(date accessed: 19.02.2021).</w:t>
      </w:r>
    </w:p>
    <w:p w14:paraId="4BE86A9A" w14:textId="0F5752BF" w:rsidR="002F3D22" w:rsidRPr="00FC6DDA" w:rsidRDefault="002F3D22" w:rsidP="002F3D22">
      <w:pPr>
        <w:ind w:firstLine="567"/>
        <w:jc w:val="both"/>
        <w:rPr>
          <w:lang w:val="en-US"/>
        </w:rPr>
      </w:pPr>
      <w:bookmarkStart w:id="1" w:name="bau0005"/>
      <w:r w:rsidRPr="00FC6DDA">
        <w:rPr>
          <w:lang w:val="en-US"/>
        </w:rPr>
        <w:t>9 Ohlan</w:t>
      </w:r>
      <w:bookmarkEnd w:id="1"/>
      <w:r w:rsidRPr="00FC6DDA">
        <w:rPr>
          <w:lang w:val="en-US"/>
        </w:rPr>
        <w:t xml:space="preserve"> R. The relationship between tourism, financial development and economic growth in India //Future Business Journal. – 2017. - Volume 3, Issue 1. – P. 9 – 22, URL: </w:t>
      </w:r>
      <w:hyperlink r:id="rId40" w:history="1">
        <w:r w:rsidR="00E32358" w:rsidRPr="00FC6DDA">
          <w:rPr>
            <w:rStyle w:val="Hyperlink"/>
            <w:color w:val="auto"/>
            <w:u w:val="none"/>
            <w:lang w:val="en-US"/>
          </w:rPr>
          <w:t>https://doi.org/10.1016/j.fbj.2017.01.003</w:t>
        </w:r>
      </w:hyperlink>
      <w:r w:rsidR="000A1A20" w:rsidRPr="00FC6DDA">
        <w:rPr>
          <w:lang w:val="en-US"/>
        </w:rPr>
        <w:t xml:space="preserve"> (date accessed: 21.02.2021).</w:t>
      </w:r>
    </w:p>
    <w:p w14:paraId="2AA0FB72" w14:textId="7F0EE8A9" w:rsidR="002F799D" w:rsidRPr="00FC6DDA" w:rsidRDefault="002F799D" w:rsidP="002F799D">
      <w:pPr>
        <w:ind w:firstLine="567"/>
        <w:jc w:val="both"/>
        <w:rPr>
          <w:lang w:val="en-US"/>
        </w:rPr>
      </w:pPr>
      <w:r w:rsidRPr="00FC6DDA">
        <w:rPr>
          <w:lang w:val="en-US"/>
        </w:rPr>
        <w:t>10 Suhel S., Bashir A. The role of tourism toward economic growth in the local economy // Economic Journal of Emerging Markets.  – 2018.- N 10</w:t>
      </w:r>
      <w:r w:rsidR="00A96EC0" w:rsidRPr="00FC6DDA">
        <w:rPr>
          <w:lang w:val="en-US"/>
        </w:rPr>
        <w:t xml:space="preserve"> </w:t>
      </w:r>
      <w:r w:rsidRPr="00FC6DDA">
        <w:rPr>
          <w:lang w:val="en-US"/>
        </w:rPr>
        <w:t xml:space="preserve">(1). – P. 32-39. URL: </w:t>
      </w:r>
      <w:hyperlink r:id="rId41" w:history="1">
        <w:r w:rsidR="00E32358" w:rsidRPr="00FC6DDA">
          <w:rPr>
            <w:rStyle w:val="Hyperlink"/>
            <w:color w:val="auto"/>
            <w:u w:val="none"/>
            <w:lang w:val="en-US"/>
          </w:rPr>
          <w:t>https://journal.uii.ac.id/JEP/article/view/7714</w:t>
        </w:r>
      </w:hyperlink>
      <w:r w:rsidR="00E32358" w:rsidRPr="00FC6DDA">
        <w:rPr>
          <w:lang w:val="en-US"/>
        </w:rPr>
        <w:t xml:space="preserve"> </w:t>
      </w:r>
      <w:r w:rsidR="000A1A20" w:rsidRPr="00FC6DDA">
        <w:rPr>
          <w:lang w:val="en-US"/>
        </w:rPr>
        <w:t>(date accessed: 21.02.2021).</w:t>
      </w:r>
    </w:p>
    <w:p w14:paraId="6CCDC830" w14:textId="73B44C88" w:rsidR="000A1A20" w:rsidRPr="00FC6DDA" w:rsidRDefault="000A1A20" w:rsidP="000A1A20">
      <w:pPr>
        <w:ind w:firstLine="567"/>
        <w:jc w:val="both"/>
        <w:rPr>
          <w:lang w:val="en-US"/>
        </w:rPr>
      </w:pPr>
      <w:r w:rsidRPr="00FC6DDA">
        <w:rPr>
          <w:lang w:val="en-US"/>
        </w:rPr>
        <w:t xml:space="preserve">11 Tulbayeva A, Abdikarimova M., Ganitaev M., Imangulova T., Pestova A. Optimization problems distribution of investments for the implementation strategy of domestic tourism in Kazakhstan // Revista Espacios. – 2017. - Vol. 38 (No 47). P. 37. URL: </w:t>
      </w:r>
      <w:hyperlink r:id="rId42" w:history="1">
        <w:r w:rsidRPr="00FC6DDA">
          <w:rPr>
            <w:rStyle w:val="Hyperlink"/>
            <w:color w:val="auto"/>
            <w:u w:val="none"/>
            <w:lang w:val="en-US"/>
          </w:rPr>
          <w:t>http://www.revistaespacios.com/a17v38n47/a17v38n47p37.pdf</w:t>
        </w:r>
      </w:hyperlink>
      <w:r w:rsidRPr="00FC6DDA">
        <w:rPr>
          <w:lang w:val="en-US"/>
        </w:rPr>
        <w:t xml:space="preserve"> (date accessed: 21.02.2021).</w:t>
      </w:r>
    </w:p>
    <w:p w14:paraId="794BAA85" w14:textId="605501F9" w:rsidR="004065DA" w:rsidRPr="00FC6DDA" w:rsidRDefault="00920CB9" w:rsidP="003E7D0A">
      <w:pPr>
        <w:ind w:firstLine="567"/>
        <w:jc w:val="both"/>
        <w:rPr>
          <w:lang w:val="en-US"/>
        </w:rPr>
      </w:pPr>
      <w:r w:rsidRPr="00FC6DDA">
        <w:rPr>
          <w:lang w:val="en-US"/>
        </w:rPr>
        <w:t xml:space="preserve">12 </w:t>
      </w:r>
      <w:r w:rsidR="000C1DD2" w:rsidRPr="00FC6DDA">
        <w:rPr>
          <w:lang w:val="en-US"/>
        </w:rPr>
        <w:t>Pavlodar region in 2019 // Statistical collection</w:t>
      </w:r>
      <w:r w:rsidR="004065DA" w:rsidRPr="00FC6DDA">
        <w:rPr>
          <w:lang w:val="en-US"/>
        </w:rPr>
        <w:t xml:space="preserve">. – 2020. – 233 </w:t>
      </w:r>
      <w:r w:rsidR="000C1DD2" w:rsidRPr="00FC6DDA">
        <w:rPr>
          <w:lang w:val="en-US"/>
        </w:rPr>
        <w:t>p</w:t>
      </w:r>
      <w:r w:rsidR="004065DA" w:rsidRPr="00FC6DDA">
        <w:rPr>
          <w:lang w:val="en-US"/>
        </w:rPr>
        <w:t>.</w:t>
      </w:r>
    </w:p>
    <w:p w14:paraId="2290306F" w14:textId="5B46A5D1" w:rsidR="004065DA" w:rsidRPr="00FC6DDA" w:rsidRDefault="00920CB9" w:rsidP="003E7D0A">
      <w:pPr>
        <w:ind w:firstLine="567"/>
        <w:jc w:val="both"/>
        <w:rPr>
          <w:lang w:val="en-US"/>
        </w:rPr>
      </w:pPr>
      <w:r w:rsidRPr="00FC6DDA">
        <w:rPr>
          <w:lang w:val="en-US"/>
        </w:rPr>
        <w:t xml:space="preserve">13 </w:t>
      </w:r>
      <w:r w:rsidR="000C1DD2" w:rsidRPr="00FC6DDA">
        <w:rPr>
          <w:lang w:val="en-US"/>
        </w:rPr>
        <w:t>Services and culture in the Pavlodar region // Statistical collection</w:t>
      </w:r>
      <w:r w:rsidR="004065DA" w:rsidRPr="00FC6DDA">
        <w:rPr>
          <w:lang w:val="en-US"/>
        </w:rPr>
        <w:t xml:space="preserve">. – 2020. – 74 </w:t>
      </w:r>
      <w:r w:rsidR="000C1DD2" w:rsidRPr="00FC6DDA">
        <w:rPr>
          <w:lang w:val="en-US"/>
        </w:rPr>
        <w:t>p</w:t>
      </w:r>
      <w:r w:rsidR="004065DA" w:rsidRPr="00FC6DDA">
        <w:rPr>
          <w:lang w:val="en-US"/>
        </w:rPr>
        <w:t>.</w:t>
      </w:r>
    </w:p>
    <w:p w14:paraId="29B4C849" w14:textId="4A50BD10" w:rsidR="004C1CC1" w:rsidRPr="00FC6DDA" w:rsidRDefault="00920CB9" w:rsidP="003E7D0A">
      <w:pPr>
        <w:ind w:firstLine="567"/>
        <w:jc w:val="both"/>
        <w:rPr>
          <w:lang w:val="en-US"/>
        </w:rPr>
      </w:pPr>
      <w:r w:rsidRPr="00FC6DDA">
        <w:rPr>
          <w:lang w:val="en-US"/>
        </w:rPr>
        <w:t xml:space="preserve">14 </w:t>
      </w:r>
      <w:r w:rsidR="000C1DD2" w:rsidRPr="00FC6DDA">
        <w:rPr>
          <w:lang w:val="en-US"/>
        </w:rPr>
        <w:t>On the activities of placements in Pavlodar region // Tourism statistics</w:t>
      </w:r>
      <w:r w:rsidR="004065DA" w:rsidRPr="00FC6DDA">
        <w:rPr>
          <w:lang w:val="en-US"/>
        </w:rPr>
        <w:t>. –</w:t>
      </w:r>
      <w:r w:rsidR="003E7D0A" w:rsidRPr="00FC6DDA">
        <w:rPr>
          <w:lang w:val="en-US"/>
        </w:rPr>
        <w:t xml:space="preserve"> 2015. – 13 </w:t>
      </w:r>
      <w:r w:rsidR="000C1DD2" w:rsidRPr="00FC6DDA">
        <w:rPr>
          <w:lang w:val="en-US"/>
        </w:rPr>
        <w:t>p</w:t>
      </w:r>
      <w:r w:rsidR="003E7D0A" w:rsidRPr="00FC6DDA">
        <w:rPr>
          <w:lang w:val="en-US"/>
        </w:rPr>
        <w:t>.</w:t>
      </w:r>
    </w:p>
    <w:p w14:paraId="4898B47B" w14:textId="26D22F3E" w:rsidR="004065DA" w:rsidRPr="00FC6DDA" w:rsidRDefault="00920CB9" w:rsidP="004065DA">
      <w:pPr>
        <w:ind w:firstLine="567"/>
        <w:jc w:val="both"/>
        <w:rPr>
          <w:lang w:val="en-US"/>
        </w:rPr>
      </w:pPr>
      <w:r w:rsidRPr="00FC6DDA">
        <w:rPr>
          <w:lang w:val="en-US"/>
        </w:rPr>
        <w:t xml:space="preserve">15 </w:t>
      </w:r>
      <w:r w:rsidR="000C1DD2" w:rsidRPr="00FC6DDA">
        <w:rPr>
          <w:lang w:val="en-US"/>
        </w:rPr>
        <w:t>On the activities of placements in Pavlodar region // Tourism statistics</w:t>
      </w:r>
      <w:r w:rsidR="004065DA" w:rsidRPr="00FC6DDA">
        <w:rPr>
          <w:lang w:val="en-US"/>
        </w:rPr>
        <w:t xml:space="preserve">. –  2016. – 14 </w:t>
      </w:r>
      <w:r w:rsidR="000C1DD2" w:rsidRPr="00FC6DDA">
        <w:rPr>
          <w:lang w:val="en-US"/>
        </w:rPr>
        <w:t>p</w:t>
      </w:r>
      <w:r w:rsidR="004065DA" w:rsidRPr="00FC6DDA">
        <w:rPr>
          <w:lang w:val="en-US"/>
        </w:rPr>
        <w:t>.</w:t>
      </w:r>
    </w:p>
    <w:p w14:paraId="4BA900E4" w14:textId="276FB617" w:rsidR="004065DA" w:rsidRPr="00FC6DDA" w:rsidRDefault="00920CB9" w:rsidP="004065DA">
      <w:pPr>
        <w:ind w:firstLine="567"/>
        <w:jc w:val="both"/>
        <w:rPr>
          <w:lang w:val="en-US"/>
        </w:rPr>
      </w:pPr>
      <w:r w:rsidRPr="00FC6DDA">
        <w:rPr>
          <w:lang w:val="en-US"/>
        </w:rPr>
        <w:t xml:space="preserve">16 </w:t>
      </w:r>
      <w:r w:rsidR="000C1DD2" w:rsidRPr="00FC6DDA">
        <w:rPr>
          <w:lang w:val="en-US"/>
        </w:rPr>
        <w:t>On the activities of placements in Pavlodar region // Tourism statistics</w:t>
      </w:r>
      <w:r w:rsidR="004065DA" w:rsidRPr="00FC6DDA">
        <w:rPr>
          <w:lang w:val="en-US"/>
        </w:rPr>
        <w:t xml:space="preserve">. – 2017. – 16 </w:t>
      </w:r>
      <w:r w:rsidR="000C1DD2" w:rsidRPr="00FC6DDA">
        <w:rPr>
          <w:lang w:val="en-US"/>
        </w:rPr>
        <w:t>p</w:t>
      </w:r>
      <w:r w:rsidR="004065DA" w:rsidRPr="00FC6DDA">
        <w:rPr>
          <w:lang w:val="en-US"/>
        </w:rPr>
        <w:t>.</w:t>
      </w:r>
    </w:p>
    <w:p w14:paraId="3426E48F" w14:textId="76F247E0" w:rsidR="004065DA" w:rsidRPr="00FC6DDA" w:rsidRDefault="00920CB9" w:rsidP="004065DA">
      <w:pPr>
        <w:ind w:firstLine="567"/>
        <w:jc w:val="both"/>
        <w:rPr>
          <w:lang w:val="en-US"/>
        </w:rPr>
      </w:pPr>
      <w:r w:rsidRPr="00FC6DDA">
        <w:rPr>
          <w:lang w:val="en-US"/>
        </w:rPr>
        <w:t xml:space="preserve">17 </w:t>
      </w:r>
      <w:r w:rsidR="000C1DD2" w:rsidRPr="00FC6DDA">
        <w:rPr>
          <w:lang w:val="en-US"/>
        </w:rPr>
        <w:t>On the activities of placements in Pavlodar region // Tourism statistics</w:t>
      </w:r>
      <w:r w:rsidR="004065DA" w:rsidRPr="00FC6DDA">
        <w:rPr>
          <w:lang w:val="en-US"/>
        </w:rPr>
        <w:t xml:space="preserve">. –  2018. – 16 </w:t>
      </w:r>
      <w:r w:rsidR="000C1DD2" w:rsidRPr="00FC6DDA">
        <w:rPr>
          <w:lang w:val="en-US"/>
        </w:rPr>
        <w:t>p</w:t>
      </w:r>
      <w:r w:rsidR="004065DA" w:rsidRPr="00FC6DDA">
        <w:rPr>
          <w:lang w:val="en-US"/>
        </w:rPr>
        <w:t>.</w:t>
      </w:r>
    </w:p>
    <w:p w14:paraId="760DD032" w14:textId="51A65AC4" w:rsidR="004065DA" w:rsidRPr="00FC6DDA" w:rsidRDefault="00920CB9" w:rsidP="004065DA">
      <w:pPr>
        <w:ind w:firstLine="567"/>
        <w:jc w:val="both"/>
        <w:rPr>
          <w:lang w:val="en-US"/>
        </w:rPr>
      </w:pPr>
      <w:r w:rsidRPr="00FC6DDA">
        <w:rPr>
          <w:lang w:val="en-US"/>
        </w:rPr>
        <w:t xml:space="preserve">18 </w:t>
      </w:r>
      <w:r w:rsidR="000C1DD2" w:rsidRPr="00FC6DDA">
        <w:rPr>
          <w:lang w:val="en-US"/>
        </w:rPr>
        <w:t>On the activities of placements in Pavlodar region // Tourism statistics</w:t>
      </w:r>
      <w:r w:rsidR="004065DA" w:rsidRPr="00FC6DDA">
        <w:rPr>
          <w:lang w:val="en-US"/>
        </w:rPr>
        <w:t xml:space="preserve">. –  2019. – 17 </w:t>
      </w:r>
      <w:r w:rsidR="000C1DD2" w:rsidRPr="00FC6DDA">
        <w:rPr>
          <w:lang w:val="en-US"/>
        </w:rPr>
        <w:t>p</w:t>
      </w:r>
      <w:r w:rsidR="004065DA" w:rsidRPr="00FC6DDA">
        <w:rPr>
          <w:lang w:val="en-US"/>
        </w:rPr>
        <w:t>.</w:t>
      </w:r>
    </w:p>
    <w:p w14:paraId="37903367" w14:textId="3403B59D" w:rsidR="00C33ABB" w:rsidRPr="00FC6DDA" w:rsidRDefault="00920CB9" w:rsidP="00DE5520">
      <w:pPr>
        <w:widowControl w:val="0"/>
        <w:ind w:firstLine="567"/>
        <w:jc w:val="both"/>
        <w:rPr>
          <w:lang w:val="en-US"/>
        </w:rPr>
      </w:pPr>
      <w:r w:rsidRPr="00FC6DDA">
        <w:rPr>
          <w:lang w:val="en-US"/>
        </w:rPr>
        <w:t xml:space="preserve">19 </w:t>
      </w:r>
      <w:r w:rsidR="000C1DD2" w:rsidRPr="00FC6DDA">
        <w:rPr>
          <w:lang w:val="en-US"/>
        </w:rPr>
        <w:t xml:space="preserve">Kvartalnov </w:t>
      </w:r>
      <w:r w:rsidR="00E070BA" w:rsidRPr="00FC6DDA">
        <w:rPr>
          <w:lang w:val="en-US"/>
        </w:rPr>
        <w:t xml:space="preserve">V.A. </w:t>
      </w:r>
      <w:r w:rsidR="000C1DD2" w:rsidRPr="00FC6DDA">
        <w:rPr>
          <w:lang w:val="en-US"/>
        </w:rPr>
        <w:t>Tourism. Marketing of the market of consumers of tourist services. URL: https://tourlib.net/books_tourism/kvartalnov_tourism14.htm (date accessed: 31.01.2021</w:t>
      </w:r>
      <w:r w:rsidR="00DE5520" w:rsidRPr="00FC6DDA">
        <w:rPr>
          <w:lang w:val="en-US"/>
        </w:rPr>
        <w:t>).</w:t>
      </w:r>
    </w:p>
    <w:p w14:paraId="238C2EC7" w14:textId="1169C6F0" w:rsidR="00DE5520" w:rsidRPr="00FC6DDA" w:rsidRDefault="00920CB9" w:rsidP="00DE5520">
      <w:pPr>
        <w:widowControl w:val="0"/>
        <w:ind w:firstLine="567"/>
        <w:jc w:val="both"/>
        <w:rPr>
          <w:lang w:val="en-US"/>
        </w:rPr>
      </w:pPr>
      <w:r w:rsidRPr="00FC6DDA">
        <w:rPr>
          <w:lang w:val="en-US"/>
        </w:rPr>
        <w:t xml:space="preserve">20 </w:t>
      </w:r>
      <w:r w:rsidR="000C1DD2" w:rsidRPr="00FC6DDA">
        <w:rPr>
          <w:lang w:val="en-US"/>
        </w:rPr>
        <w:t>Employment and wages in the Pavlodar region // Statistical collection</w:t>
      </w:r>
      <w:r w:rsidR="00381096" w:rsidRPr="00FC6DDA">
        <w:rPr>
          <w:lang w:val="en-US"/>
        </w:rPr>
        <w:t xml:space="preserve">. – 2020. – 140 </w:t>
      </w:r>
      <w:r w:rsidR="000C1DD2" w:rsidRPr="00FC6DDA">
        <w:rPr>
          <w:lang w:val="en-US"/>
        </w:rPr>
        <w:t>p</w:t>
      </w:r>
      <w:r w:rsidR="00381096" w:rsidRPr="00FC6DDA">
        <w:rPr>
          <w:lang w:val="en-US"/>
        </w:rPr>
        <w:t>.</w:t>
      </w:r>
    </w:p>
    <w:p w14:paraId="55D5A6C8" w14:textId="3A934721" w:rsidR="00D96908" w:rsidRPr="00FC6DDA" w:rsidRDefault="00920CB9" w:rsidP="00D96908">
      <w:pPr>
        <w:widowControl w:val="0"/>
        <w:ind w:firstLine="567"/>
        <w:jc w:val="both"/>
        <w:rPr>
          <w:lang w:val="en-US"/>
        </w:rPr>
      </w:pPr>
      <w:r w:rsidRPr="00FC6DDA">
        <w:rPr>
          <w:lang w:val="en-US"/>
        </w:rPr>
        <w:t xml:space="preserve">21 </w:t>
      </w:r>
      <w:r w:rsidR="000C1DD2" w:rsidRPr="00FC6DDA">
        <w:rPr>
          <w:lang w:val="en-US"/>
        </w:rPr>
        <w:t>Fixed assets of the Pavlodar region // Statistical collection</w:t>
      </w:r>
      <w:r w:rsidR="00D96908" w:rsidRPr="00FC6DDA">
        <w:rPr>
          <w:lang w:val="en-US"/>
        </w:rPr>
        <w:t>. – 2020. – 65</w:t>
      </w:r>
      <w:r w:rsidR="000C1DD2" w:rsidRPr="00FC6DDA">
        <w:rPr>
          <w:lang w:val="en-US"/>
        </w:rPr>
        <w:t xml:space="preserve"> p</w:t>
      </w:r>
      <w:r w:rsidR="00D96908" w:rsidRPr="00FC6DDA">
        <w:rPr>
          <w:lang w:val="en-US"/>
        </w:rPr>
        <w:t>.</w:t>
      </w:r>
    </w:p>
    <w:p w14:paraId="5AA8810B" w14:textId="0E1A0EF1" w:rsidR="009B283D" w:rsidRDefault="009B283D" w:rsidP="00ED66FE">
      <w:pPr>
        <w:jc w:val="both"/>
        <w:rPr>
          <w:lang w:val="en-US"/>
        </w:rPr>
      </w:pPr>
    </w:p>
    <w:p w14:paraId="18BBF02C" w14:textId="7CF99070" w:rsidR="003402BB" w:rsidRDefault="003402BB" w:rsidP="00ED66FE">
      <w:pPr>
        <w:jc w:val="both"/>
        <w:rPr>
          <w:lang w:val="en-US"/>
        </w:rPr>
      </w:pPr>
    </w:p>
    <w:p w14:paraId="6934DE1C" w14:textId="77777777" w:rsidR="008E5F90" w:rsidRPr="008E5F90" w:rsidRDefault="008E5F90" w:rsidP="008E5F90">
      <w:pPr>
        <w:ind w:firstLine="567"/>
        <w:jc w:val="both"/>
        <w:rPr>
          <w:b/>
          <w:bCs/>
          <w:lang w:val="en-US"/>
        </w:rPr>
      </w:pPr>
      <w:r w:rsidRPr="00FC6DDA">
        <w:rPr>
          <w:b/>
          <w:bCs/>
        </w:rPr>
        <w:t>Павлодар</w:t>
      </w:r>
      <w:r w:rsidRPr="008E5F90">
        <w:rPr>
          <w:b/>
          <w:bCs/>
          <w:lang w:val="en-US"/>
        </w:rPr>
        <w:t xml:space="preserve"> </w:t>
      </w:r>
      <w:r w:rsidRPr="00FC6DDA">
        <w:rPr>
          <w:b/>
          <w:bCs/>
        </w:rPr>
        <w:t>облысының</w:t>
      </w:r>
      <w:r w:rsidRPr="008E5F90">
        <w:rPr>
          <w:b/>
          <w:bCs/>
          <w:lang w:val="en-US"/>
        </w:rPr>
        <w:t xml:space="preserve"> </w:t>
      </w:r>
      <w:r w:rsidRPr="00FC6DDA">
        <w:rPr>
          <w:b/>
          <w:bCs/>
        </w:rPr>
        <w:t>туризм</w:t>
      </w:r>
      <w:r w:rsidRPr="008E5F90">
        <w:rPr>
          <w:b/>
          <w:bCs/>
          <w:lang w:val="en-US"/>
        </w:rPr>
        <w:t xml:space="preserve"> </w:t>
      </w:r>
      <w:r w:rsidRPr="00FC6DDA">
        <w:rPr>
          <w:b/>
          <w:bCs/>
        </w:rPr>
        <w:t>индустриясының</w:t>
      </w:r>
      <w:r w:rsidRPr="008E5F90">
        <w:rPr>
          <w:b/>
          <w:bCs/>
          <w:lang w:val="en-US"/>
        </w:rPr>
        <w:t xml:space="preserve"> </w:t>
      </w:r>
      <w:r w:rsidRPr="00FC6DDA">
        <w:rPr>
          <w:b/>
          <w:bCs/>
        </w:rPr>
        <w:t>қазіргі</w:t>
      </w:r>
      <w:r w:rsidRPr="008E5F90">
        <w:rPr>
          <w:b/>
          <w:bCs/>
          <w:lang w:val="en-US"/>
        </w:rPr>
        <w:t xml:space="preserve"> </w:t>
      </w:r>
      <w:r w:rsidRPr="00FC6DDA">
        <w:rPr>
          <w:b/>
          <w:bCs/>
        </w:rPr>
        <w:t>экономикалық</w:t>
      </w:r>
      <w:r w:rsidRPr="008E5F90">
        <w:rPr>
          <w:b/>
          <w:bCs/>
          <w:lang w:val="en-US"/>
        </w:rPr>
        <w:t xml:space="preserve"> </w:t>
      </w:r>
      <w:r w:rsidRPr="00FC6DDA">
        <w:rPr>
          <w:b/>
          <w:bCs/>
        </w:rPr>
        <w:t>жағдайы</w:t>
      </w:r>
      <w:r w:rsidRPr="008E5F90">
        <w:rPr>
          <w:b/>
          <w:bCs/>
          <w:lang w:val="en-US"/>
        </w:rPr>
        <w:t xml:space="preserve"> </w:t>
      </w:r>
      <w:r w:rsidRPr="00FC6DDA">
        <w:rPr>
          <w:b/>
          <w:bCs/>
        </w:rPr>
        <w:t>және</w:t>
      </w:r>
      <w:r w:rsidRPr="008E5F90">
        <w:rPr>
          <w:b/>
          <w:bCs/>
          <w:lang w:val="en-US"/>
        </w:rPr>
        <w:t xml:space="preserve"> </w:t>
      </w:r>
      <w:r w:rsidRPr="00FC6DDA">
        <w:rPr>
          <w:b/>
          <w:bCs/>
        </w:rPr>
        <w:t>оның</w:t>
      </w:r>
      <w:r w:rsidRPr="008E5F90">
        <w:rPr>
          <w:b/>
          <w:bCs/>
          <w:lang w:val="en-US"/>
        </w:rPr>
        <w:t xml:space="preserve"> </w:t>
      </w:r>
      <w:r w:rsidRPr="00FC6DDA">
        <w:rPr>
          <w:b/>
          <w:bCs/>
        </w:rPr>
        <w:t>дамуына</w:t>
      </w:r>
      <w:r w:rsidRPr="008E5F90">
        <w:rPr>
          <w:b/>
          <w:bCs/>
          <w:lang w:val="en-US"/>
        </w:rPr>
        <w:t xml:space="preserve"> </w:t>
      </w:r>
      <w:r w:rsidRPr="00FC6DDA">
        <w:rPr>
          <w:b/>
          <w:bCs/>
        </w:rPr>
        <w:t>стратегиялық</w:t>
      </w:r>
      <w:r w:rsidRPr="008E5F90">
        <w:rPr>
          <w:b/>
          <w:bCs/>
          <w:lang w:val="en-US"/>
        </w:rPr>
        <w:t xml:space="preserve"> </w:t>
      </w:r>
      <w:r w:rsidRPr="00FC6DDA">
        <w:rPr>
          <w:b/>
          <w:bCs/>
        </w:rPr>
        <w:t>инвестицияларды</w:t>
      </w:r>
      <w:r w:rsidRPr="008E5F90">
        <w:rPr>
          <w:b/>
          <w:bCs/>
          <w:lang w:val="en-US"/>
        </w:rPr>
        <w:t xml:space="preserve"> </w:t>
      </w:r>
      <w:r w:rsidRPr="00FC6DDA">
        <w:rPr>
          <w:b/>
          <w:bCs/>
        </w:rPr>
        <w:t>бағалау</w:t>
      </w:r>
    </w:p>
    <w:p w14:paraId="0D270B55" w14:textId="2DEA6C0F" w:rsidR="003402BB" w:rsidRDefault="003402BB" w:rsidP="00ED66FE">
      <w:pPr>
        <w:jc w:val="both"/>
        <w:rPr>
          <w:lang w:val="en-US"/>
        </w:rPr>
      </w:pPr>
    </w:p>
    <w:p w14:paraId="5EE6F722" w14:textId="77777777" w:rsidR="003402BB" w:rsidRPr="00134B02" w:rsidRDefault="003402BB" w:rsidP="003402BB">
      <w:pPr>
        <w:ind w:firstLine="567"/>
        <w:jc w:val="both"/>
        <w:rPr>
          <w:b/>
          <w:lang w:val="en-US"/>
        </w:rPr>
      </w:pPr>
      <w:r w:rsidRPr="00134B02">
        <w:rPr>
          <w:b/>
        </w:rPr>
        <w:t>Түйін</w:t>
      </w:r>
    </w:p>
    <w:p w14:paraId="5DA3B774" w14:textId="77777777" w:rsidR="003402BB" w:rsidRPr="009820C6" w:rsidRDefault="003402BB" w:rsidP="003402BB">
      <w:pPr>
        <w:ind w:firstLine="567"/>
        <w:jc w:val="both"/>
        <w:rPr>
          <w:lang w:val="en-US"/>
        </w:rPr>
      </w:pPr>
      <w:r>
        <w:t>Мақалада</w:t>
      </w:r>
      <w:r w:rsidRPr="009820C6">
        <w:rPr>
          <w:lang w:val="en-US"/>
        </w:rPr>
        <w:t xml:space="preserve"> </w:t>
      </w:r>
      <w:r>
        <w:t>Павлодар</w:t>
      </w:r>
      <w:r w:rsidRPr="009820C6">
        <w:rPr>
          <w:lang w:val="en-US"/>
        </w:rPr>
        <w:t xml:space="preserve"> </w:t>
      </w:r>
      <w:r>
        <w:t>облысының</w:t>
      </w:r>
      <w:r w:rsidRPr="009820C6">
        <w:rPr>
          <w:lang w:val="en-US"/>
        </w:rPr>
        <w:t xml:space="preserve"> </w:t>
      </w:r>
      <w:r>
        <w:t>туризм</w:t>
      </w:r>
      <w:r w:rsidRPr="009820C6">
        <w:rPr>
          <w:lang w:val="en-US"/>
        </w:rPr>
        <w:t xml:space="preserve"> </w:t>
      </w:r>
      <w:r>
        <w:t>индустриясының</w:t>
      </w:r>
      <w:r w:rsidRPr="009820C6">
        <w:rPr>
          <w:lang w:val="en-US"/>
        </w:rPr>
        <w:t xml:space="preserve"> </w:t>
      </w:r>
      <w:r>
        <w:t>қазіргі</w:t>
      </w:r>
      <w:r w:rsidRPr="009820C6">
        <w:rPr>
          <w:lang w:val="en-US"/>
        </w:rPr>
        <w:t xml:space="preserve"> </w:t>
      </w:r>
      <w:r>
        <w:t>жағдайы</w:t>
      </w:r>
      <w:r w:rsidRPr="009820C6">
        <w:rPr>
          <w:lang w:val="en-US"/>
        </w:rPr>
        <w:t xml:space="preserve"> </w:t>
      </w:r>
      <w:r>
        <w:t>мен</w:t>
      </w:r>
      <w:r w:rsidRPr="009820C6">
        <w:rPr>
          <w:lang w:val="en-US"/>
        </w:rPr>
        <w:t xml:space="preserve"> </w:t>
      </w:r>
      <w:r>
        <w:t>экономикалық</w:t>
      </w:r>
      <w:r w:rsidRPr="009820C6">
        <w:rPr>
          <w:lang w:val="en-US"/>
        </w:rPr>
        <w:t xml:space="preserve"> </w:t>
      </w:r>
      <w:r>
        <w:t>тенденциялары</w:t>
      </w:r>
      <w:r w:rsidRPr="009820C6">
        <w:rPr>
          <w:lang w:val="en-US"/>
        </w:rPr>
        <w:t xml:space="preserve"> </w:t>
      </w:r>
      <w:r>
        <w:t>қарастырылған</w:t>
      </w:r>
      <w:r w:rsidRPr="009820C6">
        <w:rPr>
          <w:lang w:val="en-US"/>
        </w:rPr>
        <w:t xml:space="preserve">. </w:t>
      </w:r>
    </w:p>
    <w:p w14:paraId="6CC1D0C1" w14:textId="77777777" w:rsidR="003402BB" w:rsidRPr="00B2070C" w:rsidRDefault="003402BB" w:rsidP="003402BB">
      <w:pPr>
        <w:ind w:firstLine="567"/>
        <w:jc w:val="both"/>
      </w:pPr>
      <w:r w:rsidRPr="00B2070C">
        <w:t xml:space="preserve">Зерттеу нысаны – Павлодар облысының экономикасы. </w:t>
      </w:r>
    </w:p>
    <w:p w14:paraId="6272605E" w14:textId="77777777" w:rsidR="003402BB" w:rsidRPr="00B2070C" w:rsidRDefault="003402BB" w:rsidP="003402BB">
      <w:pPr>
        <w:ind w:firstLine="567"/>
        <w:jc w:val="both"/>
        <w:rPr>
          <w:lang w:val="kk-KZ"/>
        </w:rPr>
      </w:pPr>
      <w:r w:rsidRPr="00B2070C">
        <w:t>Зерттеу пәні – туризм индустриясы және оның прогрессивті дамуына</w:t>
      </w:r>
      <w:r>
        <w:rPr>
          <w:lang w:val="kk-KZ"/>
        </w:rPr>
        <w:t xml:space="preserve"> тартылатын</w:t>
      </w:r>
      <w:r w:rsidRPr="00B2070C">
        <w:t xml:space="preserve"> стратегиялық инвестициялар. Зерттеу барысында Павлодар облысының экономикасына туристік индустрияның номиналды және нақты үлесінің динамикасына, туристік қызметтердің аумақтық бөлінуіне және олардың кеңейтілген түрлері, жұмыспен қамту тенденциясы жағдайындағы олардың құрылымына, туристік индустриядағы еңбек өнімділігі, туристік ұйымдардың өндірістік қуаты және олардың негізгі капиталының жағдайы</w:t>
      </w:r>
      <w:r>
        <w:rPr>
          <w:lang w:val="kk-KZ"/>
        </w:rPr>
        <w:t>на</w:t>
      </w:r>
      <w:r w:rsidRPr="00B2070C">
        <w:t xml:space="preserve"> ерекше назар аударылады. Туризм индустриясының аймақтық экономиканың дамуына қосқан нақты үлесін бағалау кезінде жеке және заңды тұлғалардың туристік қызметтерге сұранысының динамикасы зерттелді. Өңірд</w:t>
      </w:r>
      <w:r>
        <w:rPr>
          <w:lang w:val="kk-KZ"/>
        </w:rPr>
        <w:t xml:space="preserve">егі </w:t>
      </w:r>
      <w:r w:rsidRPr="00B2070C">
        <w:t>туристік сала</w:t>
      </w:r>
      <w:r>
        <w:rPr>
          <w:lang w:val="kk-KZ"/>
        </w:rPr>
        <w:t xml:space="preserve">ны </w:t>
      </w:r>
      <w:r w:rsidRPr="00B2070C">
        <w:t xml:space="preserve">дамыту үшін жалпы өңірлік өнімді, оның өсу қарқынын, туризмнің аймақ экономикасындағы үлесін, туристік қызметтер </w:t>
      </w:r>
      <w:r w:rsidRPr="00B2070C">
        <w:lastRenderedPageBreak/>
        <w:t xml:space="preserve">көлемінің серпінін, туристік ұйымдардың қор </w:t>
      </w:r>
      <w:r>
        <w:rPr>
          <w:lang w:val="kk-KZ"/>
        </w:rPr>
        <w:t>қайтаруын</w:t>
      </w:r>
      <w:r w:rsidRPr="00B2070C">
        <w:t xml:space="preserve"> болжау негізінде стратегиялық инвестицияларды ірілендірілген-талдамалық бағалау орындалды.</w:t>
      </w:r>
      <w:r>
        <w:rPr>
          <w:lang w:val="kk-KZ"/>
        </w:rPr>
        <w:t xml:space="preserve"> </w:t>
      </w:r>
      <w:r w:rsidRPr="00B2070C">
        <w:rPr>
          <w:lang w:val="kk-KZ"/>
        </w:rPr>
        <w:t xml:space="preserve">Туристік индустрияны дамытуға арналған стратегиялық инвестициялар басымдықтармен – негізгі қорлармен және адам ресурстарымен әртараптандырылады. Дамыған инвестициялық саясатты іске асыру аймақтағы туристік қызметтер көлемін едәуір арттыруға, туристік индустриядағы еңбек өнімділігін үш есеге арттыруға және туризм индустриясының Павлодар облысының экономикасына қосқан үлесінің оң тенденциясын күшейтуге мүмкіндік береді. Жүргізілген зерттеу тәжірибеге бағытталған сипатқа ие және қолданбалы маңыздылыққа ие. Зерттеу нәтижелерін Қазақстан Республикасындағы облыстық, </w:t>
      </w:r>
      <w:r>
        <w:rPr>
          <w:lang w:val="kk-KZ"/>
        </w:rPr>
        <w:t>өңірлік</w:t>
      </w:r>
      <w:r w:rsidRPr="00B2070C">
        <w:rPr>
          <w:lang w:val="kk-KZ"/>
        </w:rPr>
        <w:t xml:space="preserve"> туризм және спорт басқармаларының қызмет жүйесінде қолдануға болады.</w:t>
      </w:r>
      <w:r w:rsidRPr="00B2070C">
        <w:rPr>
          <w:rFonts w:ascii="Helvetica" w:hAnsi="Helvetica"/>
          <w:color w:val="000000"/>
          <w:sz w:val="27"/>
          <w:szCs w:val="27"/>
          <w:shd w:val="clear" w:color="auto" w:fill="F5F5F5"/>
          <w:lang w:val="kk-KZ"/>
        </w:rPr>
        <w:t xml:space="preserve"> </w:t>
      </w:r>
    </w:p>
    <w:p w14:paraId="58E7D17C" w14:textId="77777777" w:rsidR="003402BB" w:rsidRPr="009820C6" w:rsidRDefault="003402BB" w:rsidP="003402BB">
      <w:pPr>
        <w:ind w:firstLine="567"/>
        <w:jc w:val="both"/>
        <w:rPr>
          <w:lang w:val="kk-KZ"/>
        </w:rPr>
      </w:pPr>
      <w:r w:rsidRPr="00134B02">
        <w:rPr>
          <w:b/>
          <w:lang w:val="kk-KZ"/>
        </w:rPr>
        <w:t>Түйін</w:t>
      </w:r>
      <w:r w:rsidRPr="00B2070C">
        <w:rPr>
          <w:b/>
          <w:lang w:val="kk-KZ"/>
        </w:rPr>
        <w:t xml:space="preserve"> сөздер:</w:t>
      </w:r>
      <w:r w:rsidRPr="00B2070C">
        <w:rPr>
          <w:lang w:val="kk-KZ"/>
        </w:rPr>
        <w:t xml:space="preserve"> туризм индустриясы; </w:t>
      </w:r>
      <w:r w:rsidRPr="00B2070C">
        <w:rPr>
          <w:rStyle w:val="jlqj4b"/>
          <w:lang w:val="kk-KZ"/>
        </w:rPr>
        <w:t>туристік қызметтер; туристік қызмет көрсету нарығы; жалпы аймақтық өнім; сұраныс пен ұсыныс; өндірістік қуат; инвестициялар.</w:t>
      </w:r>
    </w:p>
    <w:p w14:paraId="505C6BFF" w14:textId="77777777" w:rsidR="003402BB" w:rsidRPr="003402BB" w:rsidRDefault="003402BB" w:rsidP="003402BB">
      <w:pPr>
        <w:ind w:firstLine="567"/>
        <w:jc w:val="both"/>
        <w:rPr>
          <w:b/>
          <w:lang w:val="kk-KZ"/>
        </w:rPr>
      </w:pPr>
    </w:p>
    <w:p w14:paraId="769F62FB" w14:textId="77777777" w:rsidR="008E5F90" w:rsidRPr="00FC6DDA" w:rsidRDefault="008E5F90" w:rsidP="008E5F90">
      <w:pPr>
        <w:widowControl w:val="0"/>
        <w:ind w:firstLine="567"/>
        <w:jc w:val="both"/>
        <w:rPr>
          <w:b/>
          <w:bCs/>
        </w:rPr>
      </w:pPr>
      <w:r w:rsidRPr="00FC6DDA">
        <w:rPr>
          <w:b/>
          <w:bCs/>
        </w:rPr>
        <w:t xml:space="preserve">Современное экономическое состояние туристской отрасли Павлодарской области и оценка стратегических инвестиций в ее развитие </w:t>
      </w:r>
    </w:p>
    <w:p w14:paraId="04A7E956" w14:textId="77777777" w:rsidR="003402BB" w:rsidRPr="00D96BC0" w:rsidRDefault="003402BB" w:rsidP="003402BB">
      <w:pPr>
        <w:ind w:firstLine="567"/>
        <w:jc w:val="both"/>
        <w:rPr>
          <w:b/>
        </w:rPr>
      </w:pPr>
      <w:r w:rsidRPr="00D96BC0">
        <w:rPr>
          <w:b/>
        </w:rPr>
        <w:t>Аннотация</w:t>
      </w:r>
    </w:p>
    <w:p w14:paraId="38AF3799" w14:textId="016B3B89" w:rsidR="003402BB" w:rsidRPr="00FC6DDA" w:rsidRDefault="003402BB" w:rsidP="003402BB">
      <w:pPr>
        <w:widowControl w:val="0"/>
        <w:ind w:firstLine="567"/>
        <w:jc w:val="both"/>
      </w:pPr>
      <w:r w:rsidRPr="00FC6DDA">
        <w:t>В статье рассмотрены современное состояние и экономические тенденции функционирования туристской отрасли Павлодарской области. Объектом исследования выступает экономика Павлодарской области. Предметом исследования выступает туристская отрасль и стратегические инвестиции в ее поступательное развитие. В ходе исследования особое внимание акцентировано на динамик</w:t>
      </w:r>
      <w:r w:rsidR="009B1A4A">
        <w:t>е</w:t>
      </w:r>
      <w:r w:rsidRPr="00FC6DDA">
        <w:t xml:space="preserve"> номинального и реального вклада туристкой отрасли в экономику Павлодарской области, территориально</w:t>
      </w:r>
      <w:r w:rsidR="009B1A4A">
        <w:t>м</w:t>
      </w:r>
      <w:r w:rsidRPr="00FC6DDA">
        <w:t xml:space="preserve"> распределени</w:t>
      </w:r>
      <w:r w:rsidR="009B1A4A">
        <w:t>и</w:t>
      </w:r>
      <w:r w:rsidRPr="00FC6DDA">
        <w:t xml:space="preserve"> туристских услуг и их структур</w:t>
      </w:r>
      <w:r w:rsidR="009B1A4A">
        <w:t>е</w:t>
      </w:r>
      <w:r w:rsidRPr="00FC6DDA">
        <w:t xml:space="preserve"> в разрезе укрупненных видов, тенденци</w:t>
      </w:r>
      <w:r w:rsidR="009B1A4A">
        <w:t xml:space="preserve">ях </w:t>
      </w:r>
      <w:r w:rsidRPr="00FC6DDA">
        <w:t>занятости и производительности труда в туристской отрасли, производственны</w:t>
      </w:r>
      <w:r w:rsidR="009B1A4A">
        <w:t>х</w:t>
      </w:r>
      <w:r w:rsidRPr="00FC6DDA">
        <w:t xml:space="preserve"> мощност</w:t>
      </w:r>
      <w:r w:rsidR="009B1A4A">
        <w:t>ях</w:t>
      </w:r>
      <w:r w:rsidRPr="00FC6DDA">
        <w:t xml:space="preserve"> туристских организаций и состояни</w:t>
      </w:r>
      <w:r w:rsidR="009B1A4A">
        <w:t>и</w:t>
      </w:r>
      <w:r w:rsidRPr="00FC6DDA">
        <w:t xml:space="preserve"> их основного капитала. </w:t>
      </w:r>
      <w:r w:rsidR="009B1A4A">
        <w:t>И</w:t>
      </w:r>
      <w:r w:rsidRPr="00FC6DDA">
        <w:t>сследована динамика спроса на туристские услуги со стороны физических, юридических лиц</w:t>
      </w:r>
      <w:r w:rsidR="009B1A4A" w:rsidRPr="009B1A4A">
        <w:t xml:space="preserve"> </w:t>
      </w:r>
      <w:r w:rsidR="009B1A4A">
        <w:t xml:space="preserve">с учетом </w:t>
      </w:r>
      <w:r w:rsidR="009B1A4A" w:rsidRPr="00FC6DDA">
        <w:t>оценк</w:t>
      </w:r>
      <w:r w:rsidR="009B1A4A">
        <w:t>и</w:t>
      </w:r>
      <w:r w:rsidR="009B1A4A" w:rsidRPr="00FC6DDA">
        <w:t xml:space="preserve"> реального вклада туристской отрасли в развитие экономики региона</w:t>
      </w:r>
      <w:r w:rsidRPr="00FC6DDA">
        <w:t>.</w:t>
      </w:r>
      <w:r w:rsidRPr="00FC6DDA">
        <w:t xml:space="preserve"> Для развития туристской отрасли региона выполнена укрупненно-аналитическая оценка стратегических инвестиций на основе прогнозирования валового регионального продукта, темпов его роста, удельного веса тури</w:t>
      </w:r>
      <w:r w:rsidR="009B1A4A">
        <w:t xml:space="preserve">зма </w:t>
      </w:r>
      <w:r w:rsidRPr="00FC6DDA">
        <w:t xml:space="preserve">в экономике региона, динамики объемов туристских услуг, фондоотдачи туристских организаций. Стратегические инвестиции в развитие туристской отрасли диверсифицированы по приоритетам – основной капитал и человеческие ресурсы. Реализация выработанной инвестиционной политики позволяет значительно увеличить объемы оказания туристских услуг в регионе, утроить производительность труда в туристской отрасли, усилить положительные тенденции вклада туристской отрасли в экономику Павлодарской области. Проведенное исследование </w:t>
      </w:r>
      <w:r w:rsidR="009B1A4A">
        <w:t xml:space="preserve">имеет </w:t>
      </w:r>
      <w:bookmarkStart w:id="2" w:name="_GoBack"/>
      <w:bookmarkEnd w:id="2"/>
      <w:r w:rsidRPr="00FC6DDA">
        <w:t>практикоориентированный характер и прикладную значимость. Результаты исследования могут быть использованы в системе деятельности областных, региональных управлений туризма и спорта в Республике Казахстан.</w:t>
      </w:r>
    </w:p>
    <w:p w14:paraId="34F4BAA1" w14:textId="77777777" w:rsidR="003402BB" w:rsidRPr="00FC6DDA" w:rsidRDefault="003402BB" w:rsidP="003402BB">
      <w:pPr>
        <w:widowControl w:val="0"/>
        <w:ind w:firstLine="567"/>
        <w:jc w:val="both"/>
        <w:rPr>
          <w:rStyle w:val="jlqj4b"/>
        </w:rPr>
      </w:pPr>
      <w:r w:rsidRPr="00FC6DDA">
        <w:t xml:space="preserve">Ключевые слова: индустрия туризма; </w:t>
      </w:r>
      <w:r w:rsidRPr="00FC6DDA">
        <w:rPr>
          <w:rStyle w:val="jlqj4b"/>
        </w:rPr>
        <w:t xml:space="preserve">туристические услуги; рынок туристических услуг; валовой региональный продукт; спрос и предложение; производственная мощность; инвестиции. </w:t>
      </w:r>
    </w:p>
    <w:p w14:paraId="15404D6C" w14:textId="77777777" w:rsidR="003402BB" w:rsidRPr="003402BB" w:rsidRDefault="003402BB" w:rsidP="00ED66FE">
      <w:pPr>
        <w:jc w:val="both"/>
      </w:pPr>
    </w:p>
    <w:sectPr w:rsidR="003402BB" w:rsidRPr="003402BB" w:rsidSect="00270E0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2327" w14:textId="77777777" w:rsidR="00F152E3" w:rsidRDefault="00F152E3" w:rsidP="00F6235F">
      <w:r>
        <w:separator/>
      </w:r>
    </w:p>
  </w:endnote>
  <w:endnote w:type="continuationSeparator" w:id="0">
    <w:p w14:paraId="0FEF041F" w14:textId="77777777" w:rsidR="00F152E3" w:rsidRDefault="00F152E3" w:rsidP="00F6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AEFA" w14:textId="77777777" w:rsidR="00F152E3" w:rsidRDefault="00F152E3" w:rsidP="00F6235F">
      <w:r>
        <w:separator/>
      </w:r>
    </w:p>
  </w:footnote>
  <w:footnote w:type="continuationSeparator" w:id="0">
    <w:p w14:paraId="00233B9F" w14:textId="77777777" w:rsidR="00F152E3" w:rsidRDefault="00F152E3" w:rsidP="00F62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E5B"/>
    <w:rsid w:val="000114BB"/>
    <w:rsid w:val="00022699"/>
    <w:rsid w:val="00026CAB"/>
    <w:rsid w:val="000473D8"/>
    <w:rsid w:val="0007098E"/>
    <w:rsid w:val="0007194A"/>
    <w:rsid w:val="000805FF"/>
    <w:rsid w:val="0009071B"/>
    <w:rsid w:val="000A02BC"/>
    <w:rsid w:val="000A1A20"/>
    <w:rsid w:val="000A2956"/>
    <w:rsid w:val="000B6231"/>
    <w:rsid w:val="000C1DD2"/>
    <w:rsid w:val="000D332B"/>
    <w:rsid w:val="000E4FD2"/>
    <w:rsid w:val="001058A5"/>
    <w:rsid w:val="00126830"/>
    <w:rsid w:val="001413CB"/>
    <w:rsid w:val="001424C8"/>
    <w:rsid w:val="00156385"/>
    <w:rsid w:val="00175D0F"/>
    <w:rsid w:val="00185171"/>
    <w:rsid w:val="00195F49"/>
    <w:rsid w:val="001B601D"/>
    <w:rsid w:val="001C2A9D"/>
    <w:rsid w:val="001D3CB1"/>
    <w:rsid w:val="001D4FF8"/>
    <w:rsid w:val="001D7B50"/>
    <w:rsid w:val="001E12FE"/>
    <w:rsid w:val="001E4EF5"/>
    <w:rsid w:val="00204765"/>
    <w:rsid w:val="002059EC"/>
    <w:rsid w:val="00232904"/>
    <w:rsid w:val="002424D5"/>
    <w:rsid w:val="00252B34"/>
    <w:rsid w:val="00270E09"/>
    <w:rsid w:val="00274C5E"/>
    <w:rsid w:val="00275B4F"/>
    <w:rsid w:val="00283416"/>
    <w:rsid w:val="00291E52"/>
    <w:rsid w:val="002A083B"/>
    <w:rsid w:val="002B41A6"/>
    <w:rsid w:val="002B41FE"/>
    <w:rsid w:val="002D6562"/>
    <w:rsid w:val="002E5488"/>
    <w:rsid w:val="002F3712"/>
    <w:rsid w:val="002F3D22"/>
    <w:rsid w:val="002F799D"/>
    <w:rsid w:val="0030001F"/>
    <w:rsid w:val="00313E07"/>
    <w:rsid w:val="00315C01"/>
    <w:rsid w:val="00326EDD"/>
    <w:rsid w:val="003402BB"/>
    <w:rsid w:val="00344A1C"/>
    <w:rsid w:val="003455A3"/>
    <w:rsid w:val="00362905"/>
    <w:rsid w:val="00362B38"/>
    <w:rsid w:val="00381096"/>
    <w:rsid w:val="00381D90"/>
    <w:rsid w:val="00390A33"/>
    <w:rsid w:val="003A1967"/>
    <w:rsid w:val="003A45A8"/>
    <w:rsid w:val="003E01C9"/>
    <w:rsid w:val="003E4019"/>
    <w:rsid w:val="003E7D0A"/>
    <w:rsid w:val="003F40DB"/>
    <w:rsid w:val="004014E7"/>
    <w:rsid w:val="00401C65"/>
    <w:rsid w:val="004065DA"/>
    <w:rsid w:val="0041391E"/>
    <w:rsid w:val="0044700A"/>
    <w:rsid w:val="00491C21"/>
    <w:rsid w:val="00496AF5"/>
    <w:rsid w:val="00497A37"/>
    <w:rsid w:val="004A09D2"/>
    <w:rsid w:val="004A595B"/>
    <w:rsid w:val="004C0D3E"/>
    <w:rsid w:val="004C1CC1"/>
    <w:rsid w:val="004C6837"/>
    <w:rsid w:val="004E1BF5"/>
    <w:rsid w:val="004E6CA2"/>
    <w:rsid w:val="005074A5"/>
    <w:rsid w:val="00522B83"/>
    <w:rsid w:val="005652FB"/>
    <w:rsid w:val="00565984"/>
    <w:rsid w:val="00575DA0"/>
    <w:rsid w:val="005850AD"/>
    <w:rsid w:val="005A79A5"/>
    <w:rsid w:val="005D33BD"/>
    <w:rsid w:val="00600FA4"/>
    <w:rsid w:val="006200C5"/>
    <w:rsid w:val="00624ECE"/>
    <w:rsid w:val="0064774F"/>
    <w:rsid w:val="00651ADB"/>
    <w:rsid w:val="00655EA0"/>
    <w:rsid w:val="00671648"/>
    <w:rsid w:val="00683693"/>
    <w:rsid w:val="00694BCC"/>
    <w:rsid w:val="006B608C"/>
    <w:rsid w:val="006D37C6"/>
    <w:rsid w:val="006E5BEB"/>
    <w:rsid w:val="007051BB"/>
    <w:rsid w:val="00707A6A"/>
    <w:rsid w:val="00712EBE"/>
    <w:rsid w:val="007133D8"/>
    <w:rsid w:val="00720536"/>
    <w:rsid w:val="00723348"/>
    <w:rsid w:val="00757361"/>
    <w:rsid w:val="00761B41"/>
    <w:rsid w:val="00762D5D"/>
    <w:rsid w:val="0076377C"/>
    <w:rsid w:val="007676A8"/>
    <w:rsid w:val="00780862"/>
    <w:rsid w:val="00783BFC"/>
    <w:rsid w:val="007954BF"/>
    <w:rsid w:val="007A42D6"/>
    <w:rsid w:val="007B65DE"/>
    <w:rsid w:val="007C0573"/>
    <w:rsid w:val="007E2784"/>
    <w:rsid w:val="007F671A"/>
    <w:rsid w:val="00805D86"/>
    <w:rsid w:val="00817FB2"/>
    <w:rsid w:val="00823985"/>
    <w:rsid w:val="00834C5A"/>
    <w:rsid w:val="00855787"/>
    <w:rsid w:val="00862590"/>
    <w:rsid w:val="008850F3"/>
    <w:rsid w:val="00890F89"/>
    <w:rsid w:val="00893FFC"/>
    <w:rsid w:val="008A2209"/>
    <w:rsid w:val="008B7ABB"/>
    <w:rsid w:val="008C426A"/>
    <w:rsid w:val="008D4CCA"/>
    <w:rsid w:val="008E5D7C"/>
    <w:rsid w:val="008E5F90"/>
    <w:rsid w:val="008E7676"/>
    <w:rsid w:val="00913EBF"/>
    <w:rsid w:val="00914BB2"/>
    <w:rsid w:val="00920CB9"/>
    <w:rsid w:val="00943473"/>
    <w:rsid w:val="00950F39"/>
    <w:rsid w:val="009555D6"/>
    <w:rsid w:val="00963274"/>
    <w:rsid w:val="009820C6"/>
    <w:rsid w:val="00990DAD"/>
    <w:rsid w:val="0099229D"/>
    <w:rsid w:val="009B1A4A"/>
    <w:rsid w:val="009B283D"/>
    <w:rsid w:val="009C6EBD"/>
    <w:rsid w:val="009D11D1"/>
    <w:rsid w:val="00A14F75"/>
    <w:rsid w:val="00A1640D"/>
    <w:rsid w:val="00A1687B"/>
    <w:rsid w:val="00A32A13"/>
    <w:rsid w:val="00A34823"/>
    <w:rsid w:val="00A36E03"/>
    <w:rsid w:val="00A55CD2"/>
    <w:rsid w:val="00A751A2"/>
    <w:rsid w:val="00A85CB4"/>
    <w:rsid w:val="00A9669E"/>
    <w:rsid w:val="00A96EC0"/>
    <w:rsid w:val="00AA21DD"/>
    <w:rsid w:val="00AB52EB"/>
    <w:rsid w:val="00AC42C1"/>
    <w:rsid w:val="00AC6119"/>
    <w:rsid w:val="00B16D1A"/>
    <w:rsid w:val="00B7413C"/>
    <w:rsid w:val="00B83E5B"/>
    <w:rsid w:val="00B939D9"/>
    <w:rsid w:val="00BA5D6A"/>
    <w:rsid w:val="00BC0026"/>
    <w:rsid w:val="00BC126D"/>
    <w:rsid w:val="00BD2228"/>
    <w:rsid w:val="00C0095D"/>
    <w:rsid w:val="00C05D3F"/>
    <w:rsid w:val="00C27F2C"/>
    <w:rsid w:val="00C33ABB"/>
    <w:rsid w:val="00C462A5"/>
    <w:rsid w:val="00C547B8"/>
    <w:rsid w:val="00C63055"/>
    <w:rsid w:val="00C83B7C"/>
    <w:rsid w:val="00C86452"/>
    <w:rsid w:val="00C9102A"/>
    <w:rsid w:val="00CA61EC"/>
    <w:rsid w:val="00CA62B4"/>
    <w:rsid w:val="00CA7F56"/>
    <w:rsid w:val="00CB5C02"/>
    <w:rsid w:val="00CE2569"/>
    <w:rsid w:val="00CF0244"/>
    <w:rsid w:val="00CF3AEA"/>
    <w:rsid w:val="00CF4F80"/>
    <w:rsid w:val="00D30869"/>
    <w:rsid w:val="00D40E71"/>
    <w:rsid w:val="00D51611"/>
    <w:rsid w:val="00D700ED"/>
    <w:rsid w:val="00D828EA"/>
    <w:rsid w:val="00D83B83"/>
    <w:rsid w:val="00D96908"/>
    <w:rsid w:val="00D96BC0"/>
    <w:rsid w:val="00DB05EB"/>
    <w:rsid w:val="00DB1E94"/>
    <w:rsid w:val="00DC5267"/>
    <w:rsid w:val="00DC6124"/>
    <w:rsid w:val="00DC6A33"/>
    <w:rsid w:val="00DD1E2E"/>
    <w:rsid w:val="00DD58AA"/>
    <w:rsid w:val="00DD5A7D"/>
    <w:rsid w:val="00DD5D1D"/>
    <w:rsid w:val="00DE5520"/>
    <w:rsid w:val="00DE6609"/>
    <w:rsid w:val="00DE7176"/>
    <w:rsid w:val="00DF1BCF"/>
    <w:rsid w:val="00DF30EC"/>
    <w:rsid w:val="00E05573"/>
    <w:rsid w:val="00E070BA"/>
    <w:rsid w:val="00E109A8"/>
    <w:rsid w:val="00E20637"/>
    <w:rsid w:val="00E27C51"/>
    <w:rsid w:val="00E32358"/>
    <w:rsid w:val="00E365A3"/>
    <w:rsid w:val="00E553ED"/>
    <w:rsid w:val="00E568DF"/>
    <w:rsid w:val="00E60E2F"/>
    <w:rsid w:val="00E61737"/>
    <w:rsid w:val="00E87A5E"/>
    <w:rsid w:val="00E959B7"/>
    <w:rsid w:val="00EB07BB"/>
    <w:rsid w:val="00EB7417"/>
    <w:rsid w:val="00EC34BC"/>
    <w:rsid w:val="00ED66FE"/>
    <w:rsid w:val="00EE4EA2"/>
    <w:rsid w:val="00EF66C5"/>
    <w:rsid w:val="00EF6F4D"/>
    <w:rsid w:val="00F01046"/>
    <w:rsid w:val="00F152E3"/>
    <w:rsid w:val="00F25AA8"/>
    <w:rsid w:val="00F31035"/>
    <w:rsid w:val="00F34ECA"/>
    <w:rsid w:val="00F53361"/>
    <w:rsid w:val="00F6235F"/>
    <w:rsid w:val="00F76071"/>
    <w:rsid w:val="00F827AB"/>
    <w:rsid w:val="00F9163C"/>
    <w:rsid w:val="00FB3E16"/>
    <w:rsid w:val="00FC2DED"/>
    <w:rsid w:val="00FC6DDA"/>
    <w:rsid w:val="00FD499A"/>
    <w:rsid w:val="00FE0491"/>
    <w:rsid w:val="00FE3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B178"/>
  <w15:docId w15:val="{830E3722-B485-4C63-99AC-E74AD088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3ED"/>
    <w:rPr>
      <w:rFonts w:ascii="Times New Roman" w:eastAsia="Times New Roman" w:hAnsi="Times New Roman" w:cs="Times New Roman"/>
      <w:lang w:eastAsia="ru-RU"/>
    </w:rPr>
  </w:style>
  <w:style w:type="paragraph" w:styleId="Heading1">
    <w:name w:val="heading 1"/>
    <w:basedOn w:val="Normal"/>
    <w:link w:val="Heading1Char"/>
    <w:uiPriority w:val="9"/>
    <w:qFormat/>
    <w:rsid w:val="00EC34B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13E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3A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83D"/>
    <w:rPr>
      <w:color w:val="0563C1" w:themeColor="hyperlink"/>
      <w:u w:val="single"/>
    </w:rPr>
  </w:style>
  <w:style w:type="character" w:customStyle="1" w:styleId="UnresolvedMention">
    <w:name w:val="Unresolved Mention"/>
    <w:basedOn w:val="DefaultParagraphFont"/>
    <w:uiPriority w:val="99"/>
    <w:semiHidden/>
    <w:unhideWhenUsed/>
    <w:rsid w:val="009B283D"/>
    <w:rPr>
      <w:color w:val="605E5C"/>
      <w:shd w:val="clear" w:color="auto" w:fill="E1DFDD"/>
    </w:rPr>
  </w:style>
  <w:style w:type="table" w:styleId="TableGrid">
    <w:name w:val="Table Grid"/>
    <w:basedOn w:val="TableNormal"/>
    <w:uiPriority w:val="59"/>
    <w:rsid w:val="00401C6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6562"/>
    <w:rPr>
      <w:color w:val="954F72" w:themeColor="followedHyperlink"/>
      <w:u w:val="single"/>
    </w:rPr>
  </w:style>
  <w:style w:type="character" w:customStyle="1" w:styleId="jlqj4b">
    <w:name w:val="jlqj4b"/>
    <w:basedOn w:val="DefaultParagraphFont"/>
    <w:rsid w:val="00C547B8"/>
  </w:style>
  <w:style w:type="paragraph" w:styleId="Header">
    <w:name w:val="header"/>
    <w:basedOn w:val="Normal"/>
    <w:link w:val="HeaderChar"/>
    <w:uiPriority w:val="99"/>
    <w:unhideWhenUsed/>
    <w:rsid w:val="00F6235F"/>
    <w:pPr>
      <w:tabs>
        <w:tab w:val="center" w:pos="4513"/>
        <w:tab w:val="right" w:pos="9026"/>
      </w:tabs>
    </w:pPr>
  </w:style>
  <w:style w:type="character" w:customStyle="1" w:styleId="HeaderChar">
    <w:name w:val="Header Char"/>
    <w:basedOn w:val="DefaultParagraphFont"/>
    <w:link w:val="Header"/>
    <w:uiPriority w:val="99"/>
    <w:rsid w:val="00F6235F"/>
    <w:rPr>
      <w:rFonts w:ascii="Times New Roman" w:eastAsia="Times New Roman" w:hAnsi="Times New Roman" w:cs="Times New Roman"/>
      <w:lang w:eastAsia="ru-RU"/>
    </w:rPr>
  </w:style>
  <w:style w:type="paragraph" w:styleId="Footer">
    <w:name w:val="footer"/>
    <w:basedOn w:val="Normal"/>
    <w:link w:val="FooterChar"/>
    <w:uiPriority w:val="99"/>
    <w:unhideWhenUsed/>
    <w:rsid w:val="00F6235F"/>
    <w:pPr>
      <w:tabs>
        <w:tab w:val="center" w:pos="4513"/>
        <w:tab w:val="right" w:pos="9026"/>
      </w:tabs>
    </w:pPr>
  </w:style>
  <w:style w:type="character" w:customStyle="1" w:styleId="FooterChar">
    <w:name w:val="Footer Char"/>
    <w:basedOn w:val="DefaultParagraphFont"/>
    <w:link w:val="Footer"/>
    <w:uiPriority w:val="99"/>
    <w:rsid w:val="00F6235F"/>
    <w:rPr>
      <w:rFonts w:ascii="Times New Roman" w:eastAsia="Times New Roman" w:hAnsi="Times New Roman" w:cs="Times New Roman"/>
      <w:lang w:eastAsia="ru-RU"/>
    </w:rPr>
  </w:style>
  <w:style w:type="character" w:styleId="Emphasis">
    <w:name w:val="Emphasis"/>
    <w:basedOn w:val="DefaultParagraphFont"/>
    <w:uiPriority w:val="20"/>
    <w:qFormat/>
    <w:rsid w:val="00707A6A"/>
    <w:rPr>
      <w:i/>
      <w:iCs/>
    </w:rPr>
  </w:style>
  <w:style w:type="character" w:customStyle="1" w:styleId="apple-converted-space">
    <w:name w:val="apple-converted-space"/>
    <w:basedOn w:val="DefaultParagraphFont"/>
    <w:rsid w:val="00707A6A"/>
  </w:style>
  <w:style w:type="character" w:customStyle="1" w:styleId="Heading1Char">
    <w:name w:val="Heading 1 Char"/>
    <w:basedOn w:val="DefaultParagraphFont"/>
    <w:link w:val="Heading1"/>
    <w:uiPriority w:val="9"/>
    <w:rsid w:val="00EC34BC"/>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unhideWhenUsed/>
    <w:rsid w:val="007676A8"/>
    <w:pPr>
      <w:spacing w:before="100" w:beforeAutospacing="1" w:after="100" w:afterAutospacing="1"/>
    </w:pPr>
  </w:style>
  <w:style w:type="character" w:customStyle="1" w:styleId="text">
    <w:name w:val="text"/>
    <w:basedOn w:val="DefaultParagraphFont"/>
    <w:rsid w:val="00313E07"/>
  </w:style>
  <w:style w:type="character" w:customStyle="1" w:styleId="title-text">
    <w:name w:val="title-text"/>
    <w:basedOn w:val="DefaultParagraphFont"/>
    <w:rsid w:val="00313E07"/>
  </w:style>
  <w:style w:type="character" w:customStyle="1" w:styleId="Heading2Char">
    <w:name w:val="Heading 2 Char"/>
    <w:basedOn w:val="DefaultParagraphFont"/>
    <w:link w:val="Heading2"/>
    <w:uiPriority w:val="9"/>
    <w:rsid w:val="00313E07"/>
    <w:rPr>
      <w:rFonts w:asciiTheme="majorHAnsi" w:eastAsiaTheme="majorEastAsia" w:hAnsiTheme="majorHAnsi" w:cstheme="majorBidi"/>
      <w:color w:val="2F5496" w:themeColor="accent1" w:themeShade="BF"/>
      <w:sz w:val="26"/>
      <w:szCs w:val="26"/>
      <w:lang w:eastAsia="ru-RU"/>
    </w:rPr>
  </w:style>
  <w:style w:type="paragraph" w:customStyle="1" w:styleId="a">
    <w:name w:val="Таблица_дан"/>
    <w:basedOn w:val="Normal"/>
    <w:rsid w:val="00362B38"/>
    <w:pPr>
      <w:jc w:val="right"/>
    </w:pPr>
    <w:rPr>
      <w:rFonts w:ascii="Arial" w:hAnsi="Arial"/>
      <w:sz w:val="18"/>
    </w:rPr>
  </w:style>
  <w:style w:type="character" w:customStyle="1" w:styleId="Heading3Char">
    <w:name w:val="Heading 3 Char"/>
    <w:basedOn w:val="DefaultParagraphFont"/>
    <w:link w:val="Heading3"/>
    <w:uiPriority w:val="9"/>
    <w:rsid w:val="00C33ABB"/>
    <w:rPr>
      <w:rFonts w:asciiTheme="majorHAnsi" w:eastAsiaTheme="majorEastAsia" w:hAnsiTheme="majorHAnsi" w:cstheme="majorBidi"/>
      <w:color w:val="1F3763" w:themeColor="accent1" w:themeShade="7F"/>
      <w:lang w:eastAsia="ru-RU"/>
    </w:rPr>
  </w:style>
  <w:style w:type="paragraph" w:styleId="BalloonText">
    <w:name w:val="Balloon Text"/>
    <w:basedOn w:val="Normal"/>
    <w:link w:val="BalloonTextChar"/>
    <w:uiPriority w:val="99"/>
    <w:semiHidden/>
    <w:unhideWhenUsed/>
    <w:rsid w:val="000A02BC"/>
    <w:rPr>
      <w:rFonts w:ascii="Tahoma" w:hAnsi="Tahoma" w:cs="Tahoma"/>
      <w:sz w:val="16"/>
      <w:szCs w:val="16"/>
    </w:rPr>
  </w:style>
  <w:style w:type="character" w:customStyle="1" w:styleId="BalloonTextChar">
    <w:name w:val="Balloon Text Char"/>
    <w:basedOn w:val="DefaultParagraphFont"/>
    <w:link w:val="BalloonText"/>
    <w:uiPriority w:val="99"/>
    <w:semiHidden/>
    <w:rsid w:val="000A02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0585">
      <w:bodyDiv w:val="1"/>
      <w:marLeft w:val="0"/>
      <w:marRight w:val="0"/>
      <w:marTop w:val="0"/>
      <w:marBottom w:val="0"/>
      <w:divBdr>
        <w:top w:val="none" w:sz="0" w:space="0" w:color="auto"/>
        <w:left w:val="none" w:sz="0" w:space="0" w:color="auto"/>
        <w:bottom w:val="none" w:sz="0" w:space="0" w:color="auto"/>
        <w:right w:val="none" w:sz="0" w:space="0" w:color="auto"/>
      </w:divBdr>
    </w:div>
    <w:div w:id="93139173">
      <w:bodyDiv w:val="1"/>
      <w:marLeft w:val="0"/>
      <w:marRight w:val="0"/>
      <w:marTop w:val="0"/>
      <w:marBottom w:val="0"/>
      <w:divBdr>
        <w:top w:val="none" w:sz="0" w:space="0" w:color="auto"/>
        <w:left w:val="none" w:sz="0" w:space="0" w:color="auto"/>
        <w:bottom w:val="none" w:sz="0" w:space="0" w:color="auto"/>
        <w:right w:val="none" w:sz="0" w:space="0" w:color="auto"/>
      </w:divBdr>
      <w:divsChild>
        <w:div w:id="1340617365">
          <w:marLeft w:val="0"/>
          <w:marRight w:val="0"/>
          <w:marTop w:val="0"/>
          <w:marBottom w:val="0"/>
          <w:divBdr>
            <w:top w:val="none" w:sz="0" w:space="0" w:color="auto"/>
            <w:left w:val="none" w:sz="0" w:space="0" w:color="auto"/>
            <w:bottom w:val="none" w:sz="0" w:space="0" w:color="auto"/>
            <w:right w:val="none" w:sz="0" w:space="0" w:color="auto"/>
          </w:divBdr>
          <w:divsChild>
            <w:div w:id="577596385">
              <w:marLeft w:val="0"/>
              <w:marRight w:val="0"/>
              <w:marTop w:val="0"/>
              <w:marBottom w:val="0"/>
              <w:divBdr>
                <w:top w:val="none" w:sz="0" w:space="0" w:color="auto"/>
                <w:left w:val="none" w:sz="0" w:space="0" w:color="auto"/>
                <w:bottom w:val="none" w:sz="0" w:space="0" w:color="auto"/>
                <w:right w:val="none" w:sz="0" w:space="0" w:color="auto"/>
              </w:divBdr>
              <w:divsChild>
                <w:div w:id="20590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071">
      <w:bodyDiv w:val="1"/>
      <w:marLeft w:val="0"/>
      <w:marRight w:val="0"/>
      <w:marTop w:val="0"/>
      <w:marBottom w:val="0"/>
      <w:divBdr>
        <w:top w:val="none" w:sz="0" w:space="0" w:color="auto"/>
        <w:left w:val="none" w:sz="0" w:space="0" w:color="auto"/>
        <w:bottom w:val="none" w:sz="0" w:space="0" w:color="auto"/>
        <w:right w:val="none" w:sz="0" w:space="0" w:color="auto"/>
      </w:divBdr>
    </w:div>
    <w:div w:id="137768160">
      <w:bodyDiv w:val="1"/>
      <w:marLeft w:val="0"/>
      <w:marRight w:val="0"/>
      <w:marTop w:val="0"/>
      <w:marBottom w:val="0"/>
      <w:divBdr>
        <w:top w:val="none" w:sz="0" w:space="0" w:color="auto"/>
        <w:left w:val="none" w:sz="0" w:space="0" w:color="auto"/>
        <w:bottom w:val="none" w:sz="0" w:space="0" w:color="auto"/>
        <w:right w:val="none" w:sz="0" w:space="0" w:color="auto"/>
      </w:divBdr>
    </w:div>
    <w:div w:id="153768178">
      <w:bodyDiv w:val="1"/>
      <w:marLeft w:val="0"/>
      <w:marRight w:val="0"/>
      <w:marTop w:val="0"/>
      <w:marBottom w:val="0"/>
      <w:divBdr>
        <w:top w:val="none" w:sz="0" w:space="0" w:color="auto"/>
        <w:left w:val="none" w:sz="0" w:space="0" w:color="auto"/>
        <w:bottom w:val="none" w:sz="0" w:space="0" w:color="auto"/>
        <w:right w:val="none" w:sz="0" w:space="0" w:color="auto"/>
      </w:divBdr>
    </w:div>
    <w:div w:id="163518758">
      <w:bodyDiv w:val="1"/>
      <w:marLeft w:val="0"/>
      <w:marRight w:val="0"/>
      <w:marTop w:val="0"/>
      <w:marBottom w:val="0"/>
      <w:divBdr>
        <w:top w:val="none" w:sz="0" w:space="0" w:color="auto"/>
        <w:left w:val="none" w:sz="0" w:space="0" w:color="auto"/>
        <w:bottom w:val="none" w:sz="0" w:space="0" w:color="auto"/>
        <w:right w:val="none" w:sz="0" w:space="0" w:color="auto"/>
      </w:divBdr>
    </w:div>
    <w:div w:id="169569429">
      <w:bodyDiv w:val="1"/>
      <w:marLeft w:val="0"/>
      <w:marRight w:val="0"/>
      <w:marTop w:val="0"/>
      <w:marBottom w:val="0"/>
      <w:divBdr>
        <w:top w:val="none" w:sz="0" w:space="0" w:color="auto"/>
        <w:left w:val="none" w:sz="0" w:space="0" w:color="auto"/>
        <w:bottom w:val="none" w:sz="0" w:space="0" w:color="auto"/>
        <w:right w:val="none" w:sz="0" w:space="0" w:color="auto"/>
      </w:divBdr>
    </w:div>
    <w:div w:id="232399696">
      <w:bodyDiv w:val="1"/>
      <w:marLeft w:val="0"/>
      <w:marRight w:val="0"/>
      <w:marTop w:val="0"/>
      <w:marBottom w:val="0"/>
      <w:divBdr>
        <w:top w:val="none" w:sz="0" w:space="0" w:color="auto"/>
        <w:left w:val="none" w:sz="0" w:space="0" w:color="auto"/>
        <w:bottom w:val="none" w:sz="0" w:space="0" w:color="auto"/>
        <w:right w:val="none" w:sz="0" w:space="0" w:color="auto"/>
      </w:divBdr>
    </w:div>
    <w:div w:id="263539671">
      <w:bodyDiv w:val="1"/>
      <w:marLeft w:val="0"/>
      <w:marRight w:val="0"/>
      <w:marTop w:val="0"/>
      <w:marBottom w:val="0"/>
      <w:divBdr>
        <w:top w:val="none" w:sz="0" w:space="0" w:color="auto"/>
        <w:left w:val="none" w:sz="0" w:space="0" w:color="auto"/>
        <w:bottom w:val="none" w:sz="0" w:space="0" w:color="auto"/>
        <w:right w:val="none" w:sz="0" w:space="0" w:color="auto"/>
      </w:divBdr>
    </w:div>
    <w:div w:id="283388326">
      <w:bodyDiv w:val="1"/>
      <w:marLeft w:val="0"/>
      <w:marRight w:val="0"/>
      <w:marTop w:val="0"/>
      <w:marBottom w:val="0"/>
      <w:divBdr>
        <w:top w:val="none" w:sz="0" w:space="0" w:color="auto"/>
        <w:left w:val="none" w:sz="0" w:space="0" w:color="auto"/>
        <w:bottom w:val="none" w:sz="0" w:space="0" w:color="auto"/>
        <w:right w:val="none" w:sz="0" w:space="0" w:color="auto"/>
      </w:divBdr>
    </w:div>
    <w:div w:id="332268291">
      <w:bodyDiv w:val="1"/>
      <w:marLeft w:val="0"/>
      <w:marRight w:val="0"/>
      <w:marTop w:val="0"/>
      <w:marBottom w:val="0"/>
      <w:divBdr>
        <w:top w:val="none" w:sz="0" w:space="0" w:color="auto"/>
        <w:left w:val="none" w:sz="0" w:space="0" w:color="auto"/>
        <w:bottom w:val="none" w:sz="0" w:space="0" w:color="auto"/>
        <w:right w:val="none" w:sz="0" w:space="0" w:color="auto"/>
      </w:divBdr>
    </w:div>
    <w:div w:id="336075607">
      <w:bodyDiv w:val="1"/>
      <w:marLeft w:val="0"/>
      <w:marRight w:val="0"/>
      <w:marTop w:val="0"/>
      <w:marBottom w:val="0"/>
      <w:divBdr>
        <w:top w:val="none" w:sz="0" w:space="0" w:color="auto"/>
        <w:left w:val="none" w:sz="0" w:space="0" w:color="auto"/>
        <w:bottom w:val="none" w:sz="0" w:space="0" w:color="auto"/>
        <w:right w:val="none" w:sz="0" w:space="0" w:color="auto"/>
      </w:divBdr>
    </w:div>
    <w:div w:id="341247270">
      <w:bodyDiv w:val="1"/>
      <w:marLeft w:val="0"/>
      <w:marRight w:val="0"/>
      <w:marTop w:val="0"/>
      <w:marBottom w:val="0"/>
      <w:divBdr>
        <w:top w:val="none" w:sz="0" w:space="0" w:color="auto"/>
        <w:left w:val="none" w:sz="0" w:space="0" w:color="auto"/>
        <w:bottom w:val="none" w:sz="0" w:space="0" w:color="auto"/>
        <w:right w:val="none" w:sz="0" w:space="0" w:color="auto"/>
      </w:divBdr>
      <w:divsChild>
        <w:div w:id="1000624007">
          <w:marLeft w:val="0"/>
          <w:marRight w:val="0"/>
          <w:marTop w:val="0"/>
          <w:marBottom w:val="0"/>
          <w:divBdr>
            <w:top w:val="none" w:sz="0" w:space="0" w:color="auto"/>
            <w:left w:val="none" w:sz="0" w:space="0" w:color="auto"/>
            <w:bottom w:val="none" w:sz="0" w:space="0" w:color="auto"/>
            <w:right w:val="none" w:sz="0" w:space="0" w:color="auto"/>
          </w:divBdr>
          <w:divsChild>
            <w:div w:id="396976984">
              <w:marLeft w:val="0"/>
              <w:marRight w:val="0"/>
              <w:marTop w:val="0"/>
              <w:marBottom w:val="0"/>
              <w:divBdr>
                <w:top w:val="none" w:sz="0" w:space="0" w:color="auto"/>
                <w:left w:val="none" w:sz="0" w:space="0" w:color="auto"/>
                <w:bottom w:val="none" w:sz="0" w:space="0" w:color="auto"/>
                <w:right w:val="none" w:sz="0" w:space="0" w:color="auto"/>
              </w:divBdr>
              <w:divsChild>
                <w:div w:id="237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174">
      <w:bodyDiv w:val="1"/>
      <w:marLeft w:val="0"/>
      <w:marRight w:val="0"/>
      <w:marTop w:val="0"/>
      <w:marBottom w:val="0"/>
      <w:divBdr>
        <w:top w:val="none" w:sz="0" w:space="0" w:color="auto"/>
        <w:left w:val="none" w:sz="0" w:space="0" w:color="auto"/>
        <w:bottom w:val="none" w:sz="0" w:space="0" w:color="auto"/>
        <w:right w:val="none" w:sz="0" w:space="0" w:color="auto"/>
      </w:divBdr>
      <w:divsChild>
        <w:div w:id="1488284226">
          <w:marLeft w:val="0"/>
          <w:marRight w:val="0"/>
          <w:marTop w:val="0"/>
          <w:marBottom w:val="0"/>
          <w:divBdr>
            <w:top w:val="none" w:sz="0" w:space="0" w:color="auto"/>
            <w:left w:val="none" w:sz="0" w:space="0" w:color="auto"/>
            <w:bottom w:val="none" w:sz="0" w:space="0" w:color="auto"/>
            <w:right w:val="none" w:sz="0" w:space="0" w:color="auto"/>
          </w:divBdr>
          <w:divsChild>
            <w:div w:id="1438796390">
              <w:marLeft w:val="0"/>
              <w:marRight w:val="0"/>
              <w:marTop w:val="0"/>
              <w:marBottom w:val="0"/>
              <w:divBdr>
                <w:top w:val="none" w:sz="0" w:space="0" w:color="auto"/>
                <w:left w:val="none" w:sz="0" w:space="0" w:color="auto"/>
                <w:bottom w:val="none" w:sz="0" w:space="0" w:color="auto"/>
                <w:right w:val="none" w:sz="0" w:space="0" w:color="auto"/>
              </w:divBdr>
              <w:divsChild>
                <w:div w:id="702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7211">
      <w:bodyDiv w:val="1"/>
      <w:marLeft w:val="0"/>
      <w:marRight w:val="0"/>
      <w:marTop w:val="0"/>
      <w:marBottom w:val="0"/>
      <w:divBdr>
        <w:top w:val="none" w:sz="0" w:space="0" w:color="auto"/>
        <w:left w:val="none" w:sz="0" w:space="0" w:color="auto"/>
        <w:bottom w:val="none" w:sz="0" w:space="0" w:color="auto"/>
        <w:right w:val="none" w:sz="0" w:space="0" w:color="auto"/>
      </w:divBdr>
    </w:div>
    <w:div w:id="414983579">
      <w:bodyDiv w:val="1"/>
      <w:marLeft w:val="0"/>
      <w:marRight w:val="0"/>
      <w:marTop w:val="0"/>
      <w:marBottom w:val="0"/>
      <w:divBdr>
        <w:top w:val="none" w:sz="0" w:space="0" w:color="auto"/>
        <w:left w:val="none" w:sz="0" w:space="0" w:color="auto"/>
        <w:bottom w:val="none" w:sz="0" w:space="0" w:color="auto"/>
        <w:right w:val="none" w:sz="0" w:space="0" w:color="auto"/>
      </w:divBdr>
    </w:div>
    <w:div w:id="446508857">
      <w:bodyDiv w:val="1"/>
      <w:marLeft w:val="0"/>
      <w:marRight w:val="0"/>
      <w:marTop w:val="0"/>
      <w:marBottom w:val="0"/>
      <w:divBdr>
        <w:top w:val="none" w:sz="0" w:space="0" w:color="auto"/>
        <w:left w:val="none" w:sz="0" w:space="0" w:color="auto"/>
        <w:bottom w:val="none" w:sz="0" w:space="0" w:color="auto"/>
        <w:right w:val="none" w:sz="0" w:space="0" w:color="auto"/>
      </w:divBdr>
    </w:div>
    <w:div w:id="485508919">
      <w:bodyDiv w:val="1"/>
      <w:marLeft w:val="0"/>
      <w:marRight w:val="0"/>
      <w:marTop w:val="0"/>
      <w:marBottom w:val="0"/>
      <w:divBdr>
        <w:top w:val="none" w:sz="0" w:space="0" w:color="auto"/>
        <w:left w:val="none" w:sz="0" w:space="0" w:color="auto"/>
        <w:bottom w:val="none" w:sz="0" w:space="0" w:color="auto"/>
        <w:right w:val="none" w:sz="0" w:space="0" w:color="auto"/>
      </w:divBdr>
    </w:div>
    <w:div w:id="502470980">
      <w:bodyDiv w:val="1"/>
      <w:marLeft w:val="0"/>
      <w:marRight w:val="0"/>
      <w:marTop w:val="0"/>
      <w:marBottom w:val="0"/>
      <w:divBdr>
        <w:top w:val="none" w:sz="0" w:space="0" w:color="auto"/>
        <w:left w:val="none" w:sz="0" w:space="0" w:color="auto"/>
        <w:bottom w:val="none" w:sz="0" w:space="0" w:color="auto"/>
        <w:right w:val="none" w:sz="0" w:space="0" w:color="auto"/>
      </w:divBdr>
    </w:div>
    <w:div w:id="518743380">
      <w:bodyDiv w:val="1"/>
      <w:marLeft w:val="0"/>
      <w:marRight w:val="0"/>
      <w:marTop w:val="0"/>
      <w:marBottom w:val="0"/>
      <w:divBdr>
        <w:top w:val="none" w:sz="0" w:space="0" w:color="auto"/>
        <w:left w:val="none" w:sz="0" w:space="0" w:color="auto"/>
        <w:bottom w:val="none" w:sz="0" w:space="0" w:color="auto"/>
        <w:right w:val="none" w:sz="0" w:space="0" w:color="auto"/>
      </w:divBdr>
    </w:div>
    <w:div w:id="531381044">
      <w:bodyDiv w:val="1"/>
      <w:marLeft w:val="0"/>
      <w:marRight w:val="0"/>
      <w:marTop w:val="0"/>
      <w:marBottom w:val="0"/>
      <w:divBdr>
        <w:top w:val="none" w:sz="0" w:space="0" w:color="auto"/>
        <w:left w:val="none" w:sz="0" w:space="0" w:color="auto"/>
        <w:bottom w:val="none" w:sz="0" w:space="0" w:color="auto"/>
        <w:right w:val="none" w:sz="0" w:space="0" w:color="auto"/>
      </w:divBdr>
    </w:div>
    <w:div w:id="644823172">
      <w:bodyDiv w:val="1"/>
      <w:marLeft w:val="0"/>
      <w:marRight w:val="0"/>
      <w:marTop w:val="0"/>
      <w:marBottom w:val="0"/>
      <w:divBdr>
        <w:top w:val="none" w:sz="0" w:space="0" w:color="auto"/>
        <w:left w:val="none" w:sz="0" w:space="0" w:color="auto"/>
        <w:bottom w:val="none" w:sz="0" w:space="0" w:color="auto"/>
        <w:right w:val="none" w:sz="0" w:space="0" w:color="auto"/>
      </w:divBdr>
    </w:div>
    <w:div w:id="744910235">
      <w:bodyDiv w:val="1"/>
      <w:marLeft w:val="0"/>
      <w:marRight w:val="0"/>
      <w:marTop w:val="0"/>
      <w:marBottom w:val="0"/>
      <w:divBdr>
        <w:top w:val="none" w:sz="0" w:space="0" w:color="auto"/>
        <w:left w:val="none" w:sz="0" w:space="0" w:color="auto"/>
        <w:bottom w:val="none" w:sz="0" w:space="0" w:color="auto"/>
        <w:right w:val="none" w:sz="0" w:space="0" w:color="auto"/>
      </w:divBdr>
    </w:div>
    <w:div w:id="779304979">
      <w:bodyDiv w:val="1"/>
      <w:marLeft w:val="0"/>
      <w:marRight w:val="0"/>
      <w:marTop w:val="0"/>
      <w:marBottom w:val="0"/>
      <w:divBdr>
        <w:top w:val="none" w:sz="0" w:space="0" w:color="auto"/>
        <w:left w:val="none" w:sz="0" w:space="0" w:color="auto"/>
        <w:bottom w:val="none" w:sz="0" w:space="0" w:color="auto"/>
        <w:right w:val="none" w:sz="0" w:space="0" w:color="auto"/>
      </w:divBdr>
    </w:div>
    <w:div w:id="810485556">
      <w:bodyDiv w:val="1"/>
      <w:marLeft w:val="0"/>
      <w:marRight w:val="0"/>
      <w:marTop w:val="0"/>
      <w:marBottom w:val="0"/>
      <w:divBdr>
        <w:top w:val="none" w:sz="0" w:space="0" w:color="auto"/>
        <w:left w:val="none" w:sz="0" w:space="0" w:color="auto"/>
        <w:bottom w:val="none" w:sz="0" w:space="0" w:color="auto"/>
        <w:right w:val="none" w:sz="0" w:space="0" w:color="auto"/>
      </w:divBdr>
    </w:div>
    <w:div w:id="883374176">
      <w:bodyDiv w:val="1"/>
      <w:marLeft w:val="0"/>
      <w:marRight w:val="0"/>
      <w:marTop w:val="0"/>
      <w:marBottom w:val="0"/>
      <w:divBdr>
        <w:top w:val="none" w:sz="0" w:space="0" w:color="auto"/>
        <w:left w:val="none" w:sz="0" w:space="0" w:color="auto"/>
        <w:bottom w:val="none" w:sz="0" w:space="0" w:color="auto"/>
        <w:right w:val="none" w:sz="0" w:space="0" w:color="auto"/>
      </w:divBdr>
    </w:div>
    <w:div w:id="967662820">
      <w:bodyDiv w:val="1"/>
      <w:marLeft w:val="0"/>
      <w:marRight w:val="0"/>
      <w:marTop w:val="0"/>
      <w:marBottom w:val="0"/>
      <w:divBdr>
        <w:top w:val="none" w:sz="0" w:space="0" w:color="auto"/>
        <w:left w:val="none" w:sz="0" w:space="0" w:color="auto"/>
        <w:bottom w:val="none" w:sz="0" w:space="0" w:color="auto"/>
        <w:right w:val="none" w:sz="0" w:space="0" w:color="auto"/>
      </w:divBdr>
    </w:div>
    <w:div w:id="982004149">
      <w:bodyDiv w:val="1"/>
      <w:marLeft w:val="0"/>
      <w:marRight w:val="0"/>
      <w:marTop w:val="0"/>
      <w:marBottom w:val="0"/>
      <w:divBdr>
        <w:top w:val="none" w:sz="0" w:space="0" w:color="auto"/>
        <w:left w:val="none" w:sz="0" w:space="0" w:color="auto"/>
        <w:bottom w:val="none" w:sz="0" w:space="0" w:color="auto"/>
        <w:right w:val="none" w:sz="0" w:space="0" w:color="auto"/>
      </w:divBdr>
    </w:div>
    <w:div w:id="993409643">
      <w:bodyDiv w:val="1"/>
      <w:marLeft w:val="0"/>
      <w:marRight w:val="0"/>
      <w:marTop w:val="0"/>
      <w:marBottom w:val="0"/>
      <w:divBdr>
        <w:top w:val="none" w:sz="0" w:space="0" w:color="auto"/>
        <w:left w:val="none" w:sz="0" w:space="0" w:color="auto"/>
        <w:bottom w:val="none" w:sz="0" w:space="0" w:color="auto"/>
        <w:right w:val="none" w:sz="0" w:space="0" w:color="auto"/>
      </w:divBdr>
    </w:div>
    <w:div w:id="1058669831">
      <w:bodyDiv w:val="1"/>
      <w:marLeft w:val="0"/>
      <w:marRight w:val="0"/>
      <w:marTop w:val="0"/>
      <w:marBottom w:val="0"/>
      <w:divBdr>
        <w:top w:val="none" w:sz="0" w:space="0" w:color="auto"/>
        <w:left w:val="none" w:sz="0" w:space="0" w:color="auto"/>
        <w:bottom w:val="none" w:sz="0" w:space="0" w:color="auto"/>
        <w:right w:val="none" w:sz="0" w:space="0" w:color="auto"/>
      </w:divBdr>
    </w:div>
    <w:div w:id="1106773833">
      <w:bodyDiv w:val="1"/>
      <w:marLeft w:val="0"/>
      <w:marRight w:val="0"/>
      <w:marTop w:val="0"/>
      <w:marBottom w:val="0"/>
      <w:divBdr>
        <w:top w:val="none" w:sz="0" w:space="0" w:color="auto"/>
        <w:left w:val="none" w:sz="0" w:space="0" w:color="auto"/>
        <w:bottom w:val="none" w:sz="0" w:space="0" w:color="auto"/>
        <w:right w:val="none" w:sz="0" w:space="0" w:color="auto"/>
      </w:divBdr>
      <w:divsChild>
        <w:div w:id="1697466745">
          <w:marLeft w:val="0"/>
          <w:marRight w:val="0"/>
          <w:marTop w:val="0"/>
          <w:marBottom w:val="0"/>
          <w:divBdr>
            <w:top w:val="none" w:sz="0" w:space="0" w:color="auto"/>
            <w:left w:val="none" w:sz="0" w:space="0" w:color="auto"/>
            <w:bottom w:val="none" w:sz="0" w:space="0" w:color="auto"/>
            <w:right w:val="none" w:sz="0" w:space="0" w:color="auto"/>
          </w:divBdr>
          <w:divsChild>
            <w:div w:id="931087961">
              <w:marLeft w:val="0"/>
              <w:marRight w:val="0"/>
              <w:marTop w:val="0"/>
              <w:marBottom w:val="0"/>
              <w:divBdr>
                <w:top w:val="none" w:sz="0" w:space="0" w:color="auto"/>
                <w:left w:val="none" w:sz="0" w:space="0" w:color="auto"/>
                <w:bottom w:val="none" w:sz="0" w:space="0" w:color="auto"/>
                <w:right w:val="none" w:sz="0" w:space="0" w:color="auto"/>
              </w:divBdr>
              <w:divsChild>
                <w:div w:id="3057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20167">
      <w:bodyDiv w:val="1"/>
      <w:marLeft w:val="0"/>
      <w:marRight w:val="0"/>
      <w:marTop w:val="0"/>
      <w:marBottom w:val="0"/>
      <w:divBdr>
        <w:top w:val="none" w:sz="0" w:space="0" w:color="auto"/>
        <w:left w:val="none" w:sz="0" w:space="0" w:color="auto"/>
        <w:bottom w:val="none" w:sz="0" w:space="0" w:color="auto"/>
        <w:right w:val="none" w:sz="0" w:space="0" w:color="auto"/>
      </w:divBdr>
    </w:div>
    <w:div w:id="1254823187">
      <w:bodyDiv w:val="1"/>
      <w:marLeft w:val="0"/>
      <w:marRight w:val="0"/>
      <w:marTop w:val="0"/>
      <w:marBottom w:val="0"/>
      <w:divBdr>
        <w:top w:val="none" w:sz="0" w:space="0" w:color="auto"/>
        <w:left w:val="none" w:sz="0" w:space="0" w:color="auto"/>
        <w:bottom w:val="none" w:sz="0" w:space="0" w:color="auto"/>
        <w:right w:val="none" w:sz="0" w:space="0" w:color="auto"/>
      </w:divBdr>
    </w:div>
    <w:div w:id="1260484812">
      <w:bodyDiv w:val="1"/>
      <w:marLeft w:val="0"/>
      <w:marRight w:val="0"/>
      <w:marTop w:val="0"/>
      <w:marBottom w:val="0"/>
      <w:divBdr>
        <w:top w:val="none" w:sz="0" w:space="0" w:color="auto"/>
        <w:left w:val="none" w:sz="0" w:space="0" w:color="auto"/>
        <w:bottom w:val="none" w:sz="0" w:space="0" w:color="auto"/>
        <w:right w:val="none" w:sz="0" w:space="0" w:color="auto"/>
      </w:divBdr>
    </w:div>
    <w:div w:id="1301426266">
      <w:bodyDiv w:val="1"/>
      <w:marLeft w:val="0"/>
      <w:marRight w:val="0"/>
      <w:marTop w:val="0"/>
      <w:marBottom w:val="0"/>
      <w:divBdr>
        <w:top w:val="none" w:sz="0" w:space="0" w:color="auto"/>
        <w:left w:val="none" w:sz="0" w:space="0" w:color="auto"/>
        <w:bottom w:val="none" w:sz="0" w:space="0" w:color="auto"/>
        <w:right w:val="none" w:sz="0" w:space="0" w:color="auto"/>
      </w:divBdr>
    </w:div>
    <w:div w:id="1311322739">
      <w:bodyDiv w:val="1"/>
      <w:marLeft w:val="0"/>
      <w:marRight w:val="0"/>
      <w:marTop w:val="0"/>
      <w:marBottom w:val="0"/>
      <w:divBdr>
        <w:top w:val="none" w:sz="0" w:space="0" w:color="auto"/>
        <w:left w:val="none" w:sz="0" w:space="0" w:color="auto"/>
        <w:bottom w:val="none" w:sz="0" w:space="0" w:color="auto"/>
        <w:right w:val="none" w:sz="0" w:space="0" w:color="auto"/>
      </w:divBdr>
    </w:div>
    <w:div w:id="1438014523">
      <w:bodyDiv w:val="1"/>
      <w:marLeft w:val="0"/>
      <w:marRight w:val="0"/>
      <w:marTop w:val="0"/>
      <w:marBottom w:val="0"/>
      <w:divBdr>
        <w:top w:val="none" w:sz="0" w:space="0" w:color="auto"/>
        <w:left w:val="none" w:sz="0" w:space="0" w:color="auto"/>
        <w:bottom w:val="none" w:sz="0" w:space="0" w:color="auto"/>
        <w:right w:val="none" w:sz="0" w:space="0" w:color="auto"/>
      </w:divBdr>
    </w:div>
    <w:div w:id="1449087537">
      <w:bodyDiv w:val="1"/>
      <w:marLeft w:val="0"/>
      <w:marRight w:val="0"/>
      <w:marTop w:val="0"/>
      <w:marBottom w:val="0"/>
      <w:divBdr>
        <w:top w:val="none" w:sz="0" w:space="0" w:color="auto"/>
        <w:left w:val="none" w:sz="0" w:space="0" w:color="auto"/>
        <w:bottom w:val="none" w:sz="0" w:space="0" w:color="auto"/>
        <w:right w:val="none" w:sz="0" w:space="0" w:color="auto"/>
      </w:divBdr>
    </w:div>
    <w:div w:id="1493059007">
      <w:bodyDiv w:val="1"/>
      <w:marLeft w:val="0"/>
      <w:marRight w:val="0"/>
      <w:marTop w:val="0"/>
      <w:marBottom w:val="0"/>
      <w:divBdr>
        <w:top w:val="none" w:sz="0" w:space="0" w:color="auto"/>
        <w:left w:val="none" w:sz="0" w:space="0" w:color="auto"/>
        <w:bottom w:val="none" w:sz="0" w:space="0" w:color="auto"/>
        <w:right w:val="none" w:sz="0" w:space="0" w:color="auto"/>
      </w:divBdr>
    </w:div>
    <w:div w:id="1502545773">
      <w:bodyDiv w:val="1"/>
      <w:marLeft w:val="0"/>
      <w:marRight w:val="0"/>
      <w:marTop w:val="0"/>
      <w:marBottom w:val="0"/>
      <w:divBdr>
        <w:top w:val="none" w:sz="0" w:space="0" w:color="auto"/>
        <w:left w:val="none" w:sz="0" w:space="0" w:color="auto"/>
        <w:bottom w:val="none" w:sz="0" w:space="0" w:color="auto"/>
        <w:right w:val="none" w:sz="0" w:space="0" w:color="auto"/>
      </w:divBdr>
    </w:div>
    <w:div w:id="1523544839">
      <w:bodyDiv w:val="1"/>
      <w:marLeft w:val="0"/>
      <w:marRight w:val="0"/>
      <w:marTop w:val="0"/>
      <w:marBottom w:val="0"/>
      <w:divBdr>
        <w:top w:val="none" w:sz="0" w:space="0" w:color="auto"/>
        <w:left w:val="none" w:sz="0" w:space="0" w:color="auto"/>
        <w:bottom w:val="none" w:sz="0" w:space="0" w:color="auto"/>
        <w:right w:val="none" w:sz="0" w:space="0" w:color="auto"/>
      </w:divBdr>
    </w:div>
    <w:div w:id="1531264802">
      <w:bodyDiv w:val="1"/>
      <w:marLeft w:val="0"/>
      <w:marRight w:val="0"/>
      <w:marTop w:val="0"/>
      <w:marBottom w:val="0"/>
      <w:divBdr>
        <w:top w:val="none" w:sz="0" w:space="0" w:color="auto"/>
        <w:left w:val="none" w:sz="0" w:space="0" w:color="auto"/>
        <w:bottom w:val="none" w:sz="0" w:space="0" w:color="auto"/>
        <w:right w:val="none" w:sz="0" w:space="0" w:color="auto"/>
      </w:divBdr>
    </w:div>
    <w:div w:id="1559782715">
      <w:bodyDiv w:val="1"/>
      <w:marLeft w:val="0"/>
      <w:marRight w:val="0"/>
      <w:marTop w:val="0"/>
      <w:marBottom w:val="0"/>
      <w:divBdr>
        <w:top w:val="none" w:sz="0" w:space="0" w:color="auto"/>
        <w:left w:val="none" w:sz="0" w:space="0" w:color="auto"/>
        <w:bottom w:val="none" w:sz="0" w:space="0" w:color="auto"/>
        <w:right w:val="none" w:sz="0" w:space="0" w:color="auto"/>
      </w:divBdr>
      <w:divsChild>
        <w:div w:id="785541570">
          <w:marLeft w:val="0"/>
          <w:marRight w:val="0"/>
          <w:marTop w:val="0"/>
          <w:marBottom w:val="0"/>
          <w:divBdr>
            <w:top w:val="none" w:sz="0" w:space="0" w:color="auto"/>
            <w:left w:val="none" w:sz="0" w:space="0" w:color="auto"/>
            <w:bottom w:val="none" w:sz="0" w:space="0" w:color="auto"/>
            <w:right w:val="none" w:sz="0" w:space="0" w:color="auto"/>
          </w:divBdr>
          <w:divsChild>
            <w:div w:id="1280912138">
              <w:marLeft w:val="0"/>
              <w:marRight w:val="0"/>
              <w:marTop w:val="0"/>
              <w:marBottom w:val="0"/>
              <w:divBdr>
                <w:top w:val="none" w:sz="0" w:space="0" w:color="auto"/>
                <w:left w:val="none" w:sz="0" w:space="0" w:color="auto"/>
                <w:bottom w:val="none" w:sz="0" w:space="0" w:color="auto"/>
                <w:right w:val="none" w:sz="0" w:space="0" w:color="auto"/>
              </w:divBdr>
              <w:divsChild>
                <w:div w:id="2681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0276">
      <w:bodyDiv w:val="1"/>
      <w:marLeft w:val="0"/>
      <w:marRight w:val="0"/>
      <w:marTop w:val="0"/>
      <w:marBottom w:val="0"/>
      <w:divBdr>
        <w:top w:val="none" w:sz="0" w:space="0" w:color="auto"/>
        <w:left w:val="none" w:sz="0" w:space="0" w:color="auto"/>
        <w:bottom w:val="none" w:sz="0" w:space="0" w:color="auto"/>
        <w:right w:val="none" w:sz="0" w:space="0" w:color="auto"/>
      </w:divBdr>
    </w:div>
    <w:div w:id="1748067439">
      <w:bodyDiv w:val="1"/>
      <w:marLeft w:val="0"/>
      <w:marRight w:val="0"/>
      <w:marTop w:val="0"/>
      <w:marBottom w:val="0"/>
      <w:divBdr>
        <w:top w:val="none" w:sz="0" w:space="0" w:color="auto"/>
        <w:left w:val="none" w:sz="0" w:space="0" w:color="auto"/>
        <w:bottom w:val="none" w:sz="0" w:space="0" w:color="auto"/>
        <w:right w:val="none" w:sz="0" w:space="0" w:color="auto"/>
      </w:divBdr>
    </w:div>
    <w:div w:id="1755666168">
      <w:bodyDiv w:val="1"/>
      <w:marLeft w:val="0"/>
      <w:marRight w:val="0"/>
      <w:marTop w:val="0"/>
      <w:marBottom w:val="0"/>
      <w:divBdr>
        <w:top w:val="none" w:sz="0" w:space="0" w:color="auto"/>
        <w:left w:val="none" w:sz="0" w:space="0" w:color="auto"/>
        <w:bottom w:val="none" w:sz="0" w:space="0" w:color="auto"/>
        <w:right w:val="none" w:sz="0" w:space="0" w:color="auto"/>
      </w:divBdr>
    </w:div>
    <w:div w:id="1756853505">
      <w:bodyDiv w:val="1"/>
      <w:marLeft w:val="0"/>
      <w:marRight w:val="0"/>
      <w:marTop w:val="0"/>
      <w:marBottom w:val="0"/>
      <w:divBdr>
        <w:top w:val="none" w:sz="0" w:space="0" w:color="auto"/>
        <w:left w:val="none" w:sz="0" w:space="0" w:color="auto"/>
        <w:bottom w:val="none" w:sz="0" w:space="0" w:color="auto"/>
        <w:right w:val="none" w:sz="0" w:space="0" w:color="auto"/>
      </w:divBdr>
      <w:divsChild>
        <w:div w:id="463231592">
          <w:marLeft w:val="0"/>
          <w:marRight w:val="0"/>
          <w:marTop w:val="0"/>
          <w:marBottom w:val="0"/>
          <w:divBdr>
            <w:top w:val="none" w:sz="0" w:space="0" w:color="auto"/>
            <w:left w:val="none" w:sz="0" w:space="0" w:color="auto"/>
            <w:bottom w:val="none" w:sz="0" w:space="0" w:color="auto"/>
            <w:right w:val="none" w:sz="0" w:space="0" w:color="auto"/>
          </w:divBdr>
          <w:divsChild>
            <w:div w:id="864636557">
              <w:marLeft w:val="0"/>
              <w:marRight w:val="0"/>
              <w:marTop w:val="0"/>
              <w:marBottom w:val="0"/>
              <w:divBdr>
                <w:top w:val="none" w:sz="0" w:space="0" w:color="auto"/>
                <w:left w:val="none" w:sz="0" w:space="0" w:color="auto"/>
                <w:bottom w:val="none" w:sz="0" w:space="0" w:color="auto"/>
                <w:right w:val="none" w:sz="0" w:space="0" w:color="auto"/>
              </w:divBdr>
              <w:divsChild>
                <w:div w:id="4814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0108">
      <w:bodyDiv w:val="1"/>
      <w:marLeft w:val="0"/>
      <w:marRight w:val="0"/>
      <w:marTop w:val="0"/>
      <w:marBottom w:val="0"/>
      <w:divBdr>
        <w:top w:val="none" w:sz="0" w:space="0" w:color="auto"/>
        <w:left w:val="none" w:sz="0" w:space="0" w:color="auto"/>
        <w:bottom w:val="none" w:sz="0" w:space="0" w:color="auto"/>
        <w:right w:val="none" w:sz="0" w:space="0" w:color="auto"/>
      </w:divBdr>
    </w:div>
    <w:div w:id="1876582578">
      <w:bodyDiv w:val="1"/>
      <w:marLeft w:val="0"/>
      <w:marRight w:val="0"/>
      <w:marTop w:val="0"/>
      <w:marBottom w:val="0"/>
      <w:divBdr>
        <w:top w:val="none" w:sz="0" w:space="0" w:color="auto"/>
        <w:left w:val="none" w:sz="0" w:space="0" w:color="auto"/>
        <w:bottom w:val="none" w:sz="0" w:space="0" w:color="auto"/>
        <w:right w:val="none" w:sz="0" w:space="0" w:color="auto"/>
      </w:divBdr>
    </w:div>
    <w:div w:id="1906181709">
      <w:bodyDiv w:val="1"/>
      <w:marLeft w:val="0"/>
      <w:marRight w:val="0"/>
      <w:marTop w:val="0"/>
      <w:marBottom w:val="0"/>
      <w:divBdr>
        <w:top w:val="none" w:sz="0" w:space="0" w:color="auto"/>
        <w:left w:val="none" w:sz="0" w:space="0" w:color="auto"/>
        <w:bottom w:val="none" w:sz="0" w:space="0" w:color="auto"/>
        <w:right w:val="none" w:sz="0" w:space="0" w:color="auto"/>
      </w:divBdr>
    </w:div>
    <w:div w:id="1908177056">
      <w:bodyDiv w:val="1"/>
      <w:marLeft w:val="0"/>
      <w:marRight w:val="0"/>
      <w:marTop w:val="0"/>
      <w:marBottom w:val="0"/>
      <w:divBdr>
        <w:top w:val="none" w:sz="0" w:space="0" w:color="auto"/>
        <w:left w:val="none" w:sz="0" w:space="0" w:color="auto"/>
        <w:bottom w:val="none" w:sz="0" w:space="0" w:color="auto"/>
        <w:right w:val="none" w:sz="0" w:space="0" w:color="auto"/>
      </w:divBdr>
    </w:div>
    <w:div w:id="1927880663">
      <w:bodyDiv w:val="1"/>
      <w:marLeft w:val="0"/>
      <w:marRight w:val="0"/>
      <w:marTop w:val="0"/>
      <w:marBottom w:val="0"/>
      <w:divBdr>
        <w:top w:val="none" w:sz="0" w:space="0" w:color="auto"/>
        <w:left w:val="none" w:sz="0" w:space="0" w:color="auto"/>
        <w:bottom w:val="none" w:sz="0" w:space="0" w:color="auto"/>
        <w:right w:val="none" w:sz="0" w:space="0" w:color="auto"/>
      </w:divBdr>
    </w:div>
    <w:div w:id="1970477132">
      <w:bodyDiv w:val="1"/>
      <w:marLeft w:val="0"/>
      <w:marRight w:val="0"/>
      <w:marTop w:val="0"/>
      <w:marBottom w:val="0"/>
      <w:divBdr>
        <w:top w:val="none" w:sz="0" w:space="0" w:color="auto"/>
        <w:left w:val="none" w:sz="0" w:space="0" w:color="auto"/>
        <w:bottom w:val="none" w:sz="0" w:space="0" w:color="auto"/>
        <w:right w:val="none" w:sz="0" w:space="0" w:color="auto"/>
      </w:divBdr>
    </w:div>
    <w:div w:id="2002003215">
      <w:bodyDiv w:val="1"/>
      <w:marLeft w:val="0"/>
      <w:marRight w:val="0"/>
      <w:marTop w:val="0"/>
      <w:marBottom w:val="0"/>
      <w:divBdr>
        <w:top w:val="none" w:sz="0" w:space="0" w:color="auto"/>
        <w:left w:val="none" w:sz="0" w:space="0" w:color="auto"/>
        <w:bottom w:val="none" w:sz="0" w:space="0" w:color="auto"/>
        <w:right w:val="none" w:sz="0" w:space="0" w:color="auto"/>
      </w:divBdr>
    </w:div>
    <w:div w:id="2012220265">
      <w:bodyDiv w:val="1"/>
      <w:marLeft w:val="0"/>
      <w:marRight w:val="0"/>
      <w:marTop w:val="0"/>
      <w:marBottom w:val="0"/>
      <w:divBdr>
        <w:top w:val="none" w:sz="0" w:space="0" w:color="auto"/>
        <w:left w:val="none" w:sz="0" w:space="0" w:color="auto"/>
        <w:bottom w:val="none" w:sz="0" w:space="0" w:color="auto"/>
        <w:right w:val="none" w:sz="0" w:space="0" w:color="auto"/>
      </w:divBdr>
    </w:div>
    <w:div w:id="2047018569">
      <w:bodyDiv w:val="1"/>
      <w:marLeft w:val="0"/>
      <w:marRight w:val="0"/>
      <w:marTop w:val="0"/>
      <w:marBottom w:val="0"/>
      <w:divBdr>
        <w:top w:val="none" w:sz="0" w:space="0" w:color="auto"/>
        <w:left w:val="none" w:sz="0" w:space="0" w:color="auto"/>
        <w:bottom w:val="none" w:sz="0" w:space="0" w:color="auto"/>
        <w:right w:val="none" w:sz="0" w:space="0" w:color="auto"/>
      </w:divBdr>
      <w:divsChild>
        <w:div w:id="1437749857">
          <w:marLeft w:val="0"/>
          <w:marRight w:val="0"/>
          <w:marTop w:val="0"/>
          <w:marBottom w:val="0"/>
          <w:divBdr>
            <w:top w:val="none" w:sz="0" w:space="0" w:color="auto"/>
            <w:left w:val="none" w:sz="0" w:space="0" w:color="auto"/>
            <w:bottom w:val="none" w:sz="0" w:space="0" w:color="auto"/>
            <w:right w:val="none" w:sz="0" w:space="0" w:color="auto"/>
          </w:divBdr>
          <w:divsChild>
            <w:div w:id="928393368">
              <w:marLeft w:val="0"/>
              <w:marRight w:val="0"/>
              <w:marTop w:val="0"/>
              <w:marBottom w:val="0"/>
              <w:divBdr>
                <w:top w:val="none" w:sz="0" w:space="0" w:color="auto"/>
                <w:left w:val="none" w:sz="0" w:space="0" w:color="auto"/>
                <w:bottom w:val="none" w:sz="0" w:space="0" w:color="auto"/>
                <w:right w:val="none" w:sz="0" w:space="0" w:color="auto"/>
              </w:divBdr>
              <w:divsChild>
                <w:div w:id="6770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5466">
      <w:bodyDiv w:val="1"/>
      <w:marLeft w:val="0"/>
      <w:marRight w:val="0"/>
      <w:marTop w:val="0"/>
      <w:marBottom w:val="0"/>
      <w:divBdr>
        <w:top w:val="none" w:sz="0" w:space="0" w:color="auto"/>
        <w:left w:val="none" w:sz="0" w:space="0" w:color="auto"/>
        <w:bottom w:val="none" w:sz="0" w:space="0" w:color="auto"/>
        <w:right w:val="none" w:sz="0" w:space="0" w:color="auto"/>
      </w:divBdr>
    </w:div>
    <w:div w:id="2072536099">
      <w:bodyDiv w:val="1"/>
      <w:marLeft w:val="0"/>
      <w:marRight w:val="0"/>
      <w:marTop w:val="0"/>
      <w:marBottom w:val="0"/>
      <w:divBdr>
        <w:top w:val="none" w:sz="0" w:space="0" w:color="auto"/>
        <w:left w:val="none" w:sz="0" w:space="0" w:color="auto"/>
        <w:bottom w:val="none" w:sz="0" w:space="0" w:color="auto"/>
        <w:right w:val="none" w:sz="0" w:space="0" w:color="auto"/>
      </w:divBdr>
    </w:div>
    <w:div w:id="2074085512">
      <w:bodyDiv w:val="1"/>
      <w:marLeft w:val="0"/>
      <w:marRight w:val="0"/>
      <w:marTop w:val="0"/>
      <w:marBottom w:val="0"/>
      <w:divBdr>
        <w:top w:val="none" w:sz="0" w:space="0" w:color="auto"/>
        <w:left w:val="none" w:sz="0" w:space="0" w:color="auto"/>
        <w:bottom w:val="none" w:sz="0" w:space="0" w:color="auto"/>
        <w:right w:val="none" w:sz="0" w:space="0" w:color="auto"/>
      </w:divBdr>
      <w:divsChild>
        <w:div w:id="2137143420">
          <w:marLeft w:val="0"/>
          <w:marRight w:val="0"/>
          <w:marTop w:val="0"/>
          <w:marBottom w:val="0"/>
          <w:divBdr>
            <w:top w:val="none" w:sz="0" w:space="0" w:color="auto"/>
            <w:left w:val="none" w:sz="0" w:space="0" w:color="auto"/>
            <w:bottom w:val="none" w:sz="0" w:space="0" w:color="auto"/>
            <w:right w:val="none" w:sz="0" w:space="0" w:color="auto"/>
          </w:divBdr>
          <w:divsChild>
            <w:div w:id="1228807116">
              <w:marLeft w:val="0"/>
              <w:marRight w:val="0"/>
              <w:marTop w:val="0"/>
              <w:marBottom w:val="0"/>
              <w:divBdr>
                <w:top w:val="none" w:sz="0" w:space="0" w:color="auto"/>
                <w:left w:val="none" w:sz="0" w:space="0" w:color="auto"/>
                <w:bottom w:val="none" w:sz="0" w:space="0" w:color="auto"/>
                <w:right w:val="none" w:sz="0" w:space="0" w:color="auto"/>
              </w:divBdr>
              <w:divsChild>
                <w:div w:id="4247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3502">
      <w:bodyDiv w:val="1"/>
      <w:marLeft w:val="0"/>
      <w:marRight w:val="0"/>
      <w:marTop w:val="0"/>
      <w:marBottom w:val="0"/>
      <w:divBdr>
        <w:top w:val="none" w:sz="0" w:space="0" w:color="auto"/>
        <w:left w:val="none" w:sz="0" w:space="0" w:color="auto"/>
        <w:bottom w:val="none" w:sz="0" w:space="0" w:color="auto"/>
        <w:right w:val="none" w:sz="0" w:space="0" w:color="auto"/>
      </w:divBdr>
    </w:div>
    <w:div w:id="212808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ule_ibraimova_kz@mail.ru" TargetMode="External"/><Relationship Id="rId18" Type="http://schemas.openxmlformats.org/officeDocument/2006/relationships/hyperlink" Target="mailto:Alexey-pvl@mail.ru" TargetMode="External"/><Relationship Id="rId26" Type="http://schemas.openxmlformats.org/officeDocument/2006/relationships/chart" Target="charts/chart2.xml"/><Relationship Id="rId39" Type="http://schemas.openxmlformats.org/officeDocument/2006/relationships/hyperlink" Target="https://doi.org/10.1080/1331677X.2017.1340173" TargetMode="External"/><Relationship Id="rId21" Type="http://schemas.openxmlformats.org/officeDocument/2006/relationships/hyperlink" Target="https://orcid.org/0000-0001-6506-2446" TargetMode="External"/><Relationship Id="rId34" Type="http://schemas.openxmlformats.org/officeDocument/2006/relationships/chart" Target="charts/chart10.xml"/><Relationship Id="rId42" Type="http://schemas.openxmlformats.org/officeDocument/2006/relationships/hyperlink" Target="http://www.revistaespacios.com/a17v38n47/a17v38n47p37.pdf" TargetMode="External"/><Relationship Id="rId7" Type="http://schemas.openxmlformats.org/officeDocument/2006/relationships/hyperlink" Target="https://orcid.org/0000-0001-9126-2337" TargetMode="External"/><Relationship Id="rId2" Type="http://schemas.openxmlformats.org/officeDocument/2006/relationships/styles" Target="styles.xml"/><Relationship Id="rId16" Type="http://schemas.openxmlformats.org/officeDocument/2006/relationships/hyperlink" Target="https://orcid.org/0000-0001-9688-4370" TargetMode="External"/><Relationship Id="rId20" Type="http://schemas.openxmlformats.org/officeDocument/2006/relationships/hyperlink" Target="mailto:saule_ibraimova_kz@mail.ru" TargetMode="External"/><Relationship Id="rId29" Type="http://schemas.openxmlformats.org/officeDocument/2006/relationships/chart" Target="charts/chart5.xml"/><Relationship Id="rId41" Type="http://schemas.openxmlformats.org/officeDocument/2006/relationships/hyperlink" Target="https://journal.uii.ac.id/JEP/article/view/771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lexey-pvl@mail.ru" TargetMode="External"/><Relationship Id="rId24" Type="http://schemas.openxmlformats.org/officeDocument/2006/relationships/hyperlink" Target="https://orcid.org/0000-0002-5538-5839" TargetMode="External"/><Relationship Id="rId32" Type="http://schemas.openxmlformats.org/officeDocument/2006/relationships/chart" Target="charts/chart8.xml"/><Relationship Id="rId37" Type="http://schemas.openxmlformats.org/officeDocument/2006/relationships/hyperlink" Target="https://doi.org/10.1016/j.tmp.2019.100614" TargetMode="External"/><Relationship Id="rId40" Type="http://schemas.openxmlformats.org/officeDocument/2006/relationships/hyperlink" Target="https://doi.org/10.1016/j.fbj.2017.01.003" TargetMode="External"/><Relationship Id="rId5" Type="http://schemas.openxmlformats.org/officeDocument/2006/relationships/footnotes" Target="footnotes.xml"/><Relationship Id="rId15" Type="http://schemas.openxmlformats.org/officeDocument/2006/relationships/hyperlink" Target="mailto:begentaev_meiram@mail.ru" TargetMode="External"/><Relationship Id="rId23" Type="http://schemas.openxmlformats.org/officeDocument/2006/relationships/hyperlink" Target="https://orcid.org/0000-0001-9688-4370" TargetMode="External"/><Relationship Id="rId28" Type="http://schemas.openxmlformats.org/officeDocument/2006/relationships/chart" Target="charts/chart4.xml"/><Relationship Id="rId36" Type="http://schemas.openxmlformats.org/officeDocument/2006/relationships/hyperlink" Target="https://doi.org/10.1177%2F1354816619881244" TargetMode="External"/><Relationship Id="rId10" Type="http://schemas.openxmlformats.org/officeDocument/2006/relationships/hyperlink" Target="https://orcid.org/0000-0002-5538-5839" TargetMode="External"/><Relationship Id="rId19" Type="http://schemas.openxmlformats.org/officeDocument/2006/relationships/hyperlink" Target="https://orcid.org/0000-0001-9126-2337" TargetMode="External"/><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9688-4370" TargetMode="External"/><Relationship Id="rId14" Type="http://schemas.openxmlformats.org/officeDocument/2006/relationships/hyperlink" Target="https://orcid.org/0000-0001-6506-2446" TargetMode="External"/><Relationship Id="rId22" Type="http://schemas.openxmlformats.org/officeDocument/2006/relationships/hyperlink" Target="mailto:begentaev_meiram@mail.ru"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ntTable" Target="fontTable.xml"/><Relationship Id="rId8" Type="http://schemas.openxmlformats.org/officeDocument/2006/relationships/hyperlink" Target="https://orcid.org/0000-0001-6506-2446" TargetMode="External"/><Relationship Id="rId3" Type="http://schemas.openxmlformats.org/officeDocument/2006/relationships/settings" Target="settings.xml"/><Relationship Id="rId12" Type="http://schemas.openxmlformats.org/officeDocument/2006/relationships/hyperlink" Target="https://orcid.org/0000-0001-9126-2337" TargetMode="External"/><Relationship Id="rId17" Type="http://schemas.openxmlformats.org/officeDocument/2006/relationships/hyperlink" Target="https://orcid.org/0000-0002-5538-5839"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yperlink" Target="http://orizonturi.ucdc.ro/arhiva/khe-vol7-nr3-2015/Georgeta_Ilie.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1.3888888888888867E-2"/>
                  <c:y val="-5.555555555555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22-E046-A64A-468F0FF8CB96}"/>
                </c:ext>
              </c:extLst>
            </c:dLbl>
            <c:dLbl>
              <c:idx val="1"/>
              <c:layout>
                <c:manualLayout>
                  <c:x val="1.620370370370370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22-E046-A64A-468F0FF8CB96}"/>
                </c:ext>
              </c:extLst>
            </c:dLbl>
            <c:dLbl>
              <c:idx val="2"/>
              <c:layout>
                <c:manualLayout>
                  <c:x val="2.083333333333333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22-E046-A64A-468F0FF8CB96}"/>
                </c:ext>
              </c:extLst>
            </c:dLbl>
            <c:dLbl>
              <c:idx val="3"/>
              <c:layout>
                <c:manualLayout>
                  <c:x val="2.314814814814806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22-E046-A64A-468F0FF8CB96}"/>
                </c:ext>
              </c:extLst>
            </c:dLbl>
            <c:dLbl>
              <c:idx val="4"/>
              <c:layout>
                <c:manualLayout>
                  <c:x val="2.083333333333333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22-E046-A64A-468F0FF8CB96}"/>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0.00%</c:formatCode>
                <c:ptCount val="5"/>
                <c:pt idx="0">
                  <c:v>5.4999999999999997E-3</c:v>
                </c:pt>
                <c:pt idx="1">
                  <c:v>4.4000000000000003E-3</c:v>
                </c:pt>
                <c:pt idx="2">
                  <c:v>4.1999999999999997E-3</c:v>
                </c:pt>
                <c:pt idx="3">
                  <c:v>2.8999999999999998E-3</c:v>
                </c:pt>
                <c:pt idx="4">
                  <c:v>3.0000000000000001E-3</c:v>
                </c:pt>
              </c:numCache>
            </c:numRef>
          </c:val>
          <c:extLst>
            <c:ext xmlns:c16="http://schemas.microsoft.com/office/drawing/2014/chart" uri="{C3380CC4-5D6E-409C-BE32-E72D297353CC}">
              <c16:uniqueId val="{00000005-0522-E046-A64A-468F0FF8CB96}"/>
            </c:ext>
          </c:extLst>
        </c:ser>
        <c:dLbls>
          <c:showLegendKey val="0"/>
          <c:showVal val="0"/>
          <c:showCatName val="0"/>
          <c:showSerName val="0"/>
          <c:showPercent val="0"/>
          <c:showBubbleSize val="0"/>
        </c:dLbls>
        <c:gapWidth val="150"/>
        <c:shape val="box"/>
        <c:axId val="310500736"/>
        <c:axId val="310504064"/>
        <c:axId val="0"/>
      </c:bar3DChart>
      <c:catAx>
        <c:axId val="31050073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10504064"/>
        <c:crosses val="autoZero"/>
        <c:auto val="1"/>
        <c:lblAlgn val="ctr"/>
        <c:lblOffset val="100"/>
        <c:noMultiLvlLbl val="0"/>
      </c:catAx>
      <c:valAx>
        <c:axId val="310504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vert="horz"/>
          <a:lstStyle/>
          <a:p>
            <a:pPr>
              <a:defRPr/>
            </a:pPr>
            <a:endParaRPr lang="en-US"/>
          </a:p>
        </c:txPr>
        <c:crossAx val="31050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Лист1!$B$1</c:f>
              <c:strCache>
                <c:ptCount val="1"/>
                <c:pt idx="0">
                  <c:v>Small businesses</c:v>
                </c:pt>
              </c:strCache>
            </c:strRef>
          </c:tx>
          <c:spPr>
            <a:solidFill>
              <a:schemeClr val="accent5">
                <a:lumMod val="60000"/>
                <a:lumOff val="40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0.00%</c:formatCode>
                <c:ptCount val="5"/>
                <c:pt idx="0">
                  <c:v>0.871</c:v>
                </c:pt>
                <c:pt idx="1">
                  <c:v>0.89300000000000002</c:v>
                </c:pt>
                <c:pt idx="2">
                  <c:v>0.9</c:v>
                </c:pt>
                <c:pt idx="3">
                  <c:v>0.82299999999999995</c:v>
                </c:pt>
                <c:pt idx="4">
                  <c:v>0.79</c:v>
                </c:pt>
              </c:numCache>
            </c:numRef>
          </c:val>
          <c:extLst>
            <c:ext xmlns:c16="http://schemas.microsoft.com/office/drawing/2014/chart" uri="{C3380CC4-5D6E-409C-BE32-E72D297353CC}">
              <c16:uniqueId val="{00000000-1871-654F-AC18-6E7C8D0F9586}"/>
            </c:ext>
          </c:extLst>
        </c:ser>
        <c:ser>
          <c:idx val="1"/>
          <c:order val="1"/>
          <c:tx>
            <c:strRef>
              <c:f>Лист1!$C$1</c:f>
              <c:strCache>
                <c:ptCount val="1"/>
                <c:pt idx="0">
                  <c:v>Medium enterprises</c:v>
                </c:pt>
              </c:strCache>
            </c:strRef>
          </c:tx>
          <c:spPr>
            <a:solidFill>
              <a:schemeClr val="accent2">
                <a:lumMod val="40000"/>
                <a:lumOff val="60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0.00%</c:formatCode>
                <c:ptCount val="5"/>
                <c:pt idx="0">
                  <c:v>0.125</c:v>
                </c:pt>
                <c:pt idx="1">
                  <c:v>0.1</c:v>
                </c:pt>
                <c:pt idx="2">
                  <c:v>9.5000000000000001E-2</c:v>
                </c:pt>
                <c:pt idx="3">
                  <c:v>0.17</c:v>
                </c:pt>
                <c:pt idx="4">
                  <c:v>0.20300000000000001</c:v>
                </c:pt>
              </c:numCache>
            </c:numRef>
          </c:val>
          <c:extLst>
            <c:ext xmlns:c16="http://schemas.microsoft.com/office/drawing/2014/chart" uri="{C3380CC4-5D6E-409C-BE32-E72D297353CC}">
              <c16:uniqueId val="{00000001-1871-654F-AC18-6E7C8D0F9586}"/>
            </c:ext>
          </c:extLst>
        </c:ser>
        <c:ser>
          <c:idx val="2"/>
          <c:order val="2"/>
          <c:tx>
            <c:strRef>
              <c:f>Лист1!$D$1</c:f>
              <c:strCache>
                <c:ptCount val="1"/>
                <c:pt idx="0">
                  <c:v>Large enterprises</c:v>
                </c:pt>
              </c:strCache>
            </c:strRef>
          </c:tx>
          <c:spPr>
            <a:solidFill>
              <a:schemeClr val="accent3">
                <a:lumMod val="40000"/>
                <a:lumOff val="60000"/>
              </a:schemeClr>
            </a:solidFill>
            <a:ln>
              <a:noFill/>
            </a:ln>
            <a:effectLst/>
            <a:sp3d/>
          </c:spPr>
          <c:invertIfNegative val="0"/>
          <c:dLbls>
            <c:dLbl>
              <c:idx val="0"/>
              <c:layout>
                <c:manualLayout>
                  <c:x val="2.0833333333333311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71-654F-AC18-6E7C8D0F9586}"/>
                </c:ext>
              </c:extLst>
            </c:dLbl>
            <c:dLbl>
              <c:idx val="1"/>
              <c:layout>
                <c:manualLayout>
                  <c:x val="2.7777777777777821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71-654F-AC18-6E7C8D0F9586}"/>
                </c:ext>
              </c:extLst>
            </c:dLbl>
            <c:dLbl>
              <c:idx val="2"/>
              <c:layout>
                <c:manualLayout>
                  <c:x val="1.6203703703703703E-2"/>
                  <c:y val="-7.5396825396825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871-654F-AC18-6E7C8D0F9586}"/>
                </c:ext>
              </c:extLst>
            </c:dLbl>
            <c:dLbl>
              <c:idx val="3"/>
              <c:layout>
                <c:manualLayout>
                  <c:x val="2.5462962962962878E-2"/>
                  <c:y val="-7.1428571428571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71-654F-AC18-6E7C8D0F9586}"/>
                </c:ext>
              </c:extLst>
            </c:dLbl>
            <c:dLbl>
              <c:idx val="4"/>
              <c:layout>
                <c:manualLayout>
                  <c:x val="1.3888888888888888E-2"/>
                  <c:y val="-7.1428571428571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871-654F-AC18-6E7C8D0F9586}"/>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Лист1!$D$2:$D$6</c:f>
              <c:numCache>
                <c:formatCode>0.00%</c:formatCode>
                <c:ptCount val="5"/>
                <c:pt idx="0">
                  <c:v>5.0000000000000001E-3</c:v>
                </c:pt>
                <c:pt idx="1">
                  <c:v>6.0000000000000001E-3</c:v>
                </c:pt>
                <c:pt idx="2">
                  <c:v>5.0000000000000001E-3</c:v>
                </c:pt>
                <c:pt idx="3">
                  <c:v>7.0000000000000001E-3</c:v>
                </c:pt>
                <c:pt idx="4">
                  <c:v>7.0000000000000001E-3</c:v>
                </c:pt>
              </c:numCache>
            </c:numRef>
          </c:val>
          <c:extLst>
            <c:ext xmlns:c16="http://schemas.microsoft.com/office/drawing/2014/chart" uri="{C3380CC4-5D6E-409C-BE32-E72D297353CC}">
              <c16:uniqueId val="{00000007-1871-654F-AC18-6E7C8D0F9586}"/>
            </c:ext>
          </c:extLst>
        </c:ser>
        <c:dLbls>
          <c:showLegendKey val="0"/>
          <c:showVal val="0"/>
          <c:showCatName val="0"/>
          <c:showSerName val="0"/>
          <c:showPercent val="0"/>
          <c:showBubbleSize val="0"/>
        </c:dLbls>
        <c:gapWidth val="150"/>
        <c:shape val="box"/>
        <c:axId val="311918592"/>
        <c:axId val="311920128"/>
        <c:axId val="0"/>
      </c:bar3DChart>
      <c:catAx>
        <c:axId val="311918592"/>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311920128"/>
        <c:crosses val="autoZero"/>
        <c:auto val="1"/>
        <c:lblAlgn val="ctr"/>
        <c:lblOffset val="100"/>
        <c:noMultiLvlLbl val="0"/>
      </c:catAx>
      <c:valAx>
        <c:axId val="311920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31191859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tx2">
                <a:lumMod val="60000"/>
                <a:lumOff val="40000"/>
              </a:schemeClr>
            </a:solidFill>
            <a:ln>
              <a:noFill/>
            </a:ln>
            <a:effectLst/>
            <a:sp3d/>
          </c:spPr>
          <c:invertIfNegative val="0"/>
          <c:dLbls>
            <c:dLbl>
              <c:idx val="0"/>
              <c:layout>
                <c:manualLayout>
                  <c:x val="2.3148148148147934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A3-3247-A37B-FB2C323A35A8}"/>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A3-3247-A37B-FB2C323A35A8}"/>
                </c:ext>
              </c:extLst>
            </c:dLbl>
            <c:dLbl>
              <c:idx val="2"/>
              <c:layout>
                <c:manualLayout>
                  <c:x val="1.3888888888888805E-2"/>
                  <c:y val="-5.5555555555555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A3-3247-A37B-FB2C323A35A8}"/>
                </c:ext>
              </c:extLst>
            </c:dLbl>
            <c:dLbl>
              <c:idx val="3"/>
              <c:layout>
                <c:manualLayout>
                  <c:x val="2.0833333333333249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A3-3247-A37B-FB2C323A35A8}"/>
                </c:ext>
              </c:extLst>
            </c:dLbl>
            <c:dLbl>
              <c:idx val="4"/>
              <c:layout>
                <c:manualLayout>
                  <c:x val="2.546296296296296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A3-3247-A37B-FB2C323A35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0.00</c:formatCode>
                <c:ptCount val="5"/>
                <c:pt idx="0">
                  <c:v>0.44</c:v>
                </c:pt>
                <c:pt idx="1">
                  <c:v>0.39</c:v>
                </c:pt>
                <c:pt idx="2">
                  <c:v>0.44</c:v>
                </c:pt>
                <c:pt idx="3">
                  <c:v>0.37</c:v>
                </c:pt>
                <c:pt idx="4">
                  <c:v>0.34</c:v>
                </c:pt>
              </c:numCache>
            </c:numRef>
          </c:val>
          <c:extLst>
            <c:ext xmlns:c16="http://schemas.microsoft.com/office/drawing/2014/chart" uri="{C3380CC4-5D6E-409C-BE32-E72D297353CC}">
              <c16:uniqueId val="{00000005-7DA3-3247-A37B-FB2C323A35A8}"/>
            </c:ext>
          </c:extLst>
        </c:ser>
        <c:dLbls>
          <c:showLegendKey val="0"/>
          <c:showVal val="0"/>
          <c:showCatName val="0"/>
          <c:showSerName val="0"/>
          <c:showPercent val="0"/>
          <c:showBubbleSize val="0"/>
        </c:dLbls>
        <c:gapWidth val="150"/>
        <c:shape val="box"/>
        <c:axId val="311788288"/>
        <c:axId val="311789824"/>
        <c:axId val="0"/>
      </c:bar3DChart>
      <c:catAx>
        <c:axId val="31178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789824"/>
        <c:crosses val="autoZero"/>
        <c:auto val="1"/>
        <c:lblAlgn val="ctr"/>
        <c:lblOffset val="100"/>
        <c:noMultiLvlLbl val="0"/>
      </c:catAx>
      <c:valAx>
        <c:axId val="311789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788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1.620370370370370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235-4942-AB3D-18583088045C}"/>
                </c:ext>
              </c:extLst>
            </c:dLbl>
            <c:dLbl>
              <c:idx val="1"/>
              <c:layout>
                <c:manualLayout>
                  <c:x val="2.083333333333333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35-4942-AB3D-18583088045C}"/>
                </c:ext>
              </c:extLst>
            </c:dLbl>
            <c:dLbl>
              <c:idx val="2"/>
              <c:layout>
                <c:manualLayout>
                  <c:x val="2.3148148148148064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35-4942-AB3D-18583088045C}"/>
                </c:ext>
              </c:extLst>
            </c:dLbl>
            <c:dLbl>
              <c:idx val="3"/>
              <c:layout>
                <c:manualLayout>
                  <c:x val="2.083333333333333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35-4942-AB3D-18583088045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0">
                  <c:v>2016</c:v>
                </c:pt>
                <c:pt idx="1">
                  <c:v>2017</c:v>
                </c:pt>
                <c:pt idx="2">
                  <c:v>2018</c:v>
                </c:pt>
                <c:pt idx="3">
                  <c:v>2019</c:v>
                </c:pt>
              </c:numCache>
            </c:numRef>
          </c:cat>
          <c:val>
            <c:numRef>
              <c:f>Лист1!$B$2:$B$5</c:f>
              <c:numCache>
                <c:formatCode>0.00%</c:formatCode>
                <c:ptCount val="4"/>
                <c:pt idx="0">
                  <c:v>0.90400000000000003</c:v>
                </c:pt>
                <c:pt idx="1">
                  <c:v>1.141</c:v>
                </c:pt>
                <c:pt idx="2">
                  <c:v>0.80800000000000005</c:v>
                </c:pt>
                <c:pt idx="3" formatCode="0%">
                  <c:v>1.07</c:v>
                </c:pt>
              </c:numCache>
            </c:numRef>
          </c:val>
          <c:extLst>
            <c:ext xmlns:c16="http://schemas.microsoft.com/office/drawing/2014/chart" uri="{C3380CC4-5D6E-409C-BE32-E72D297353CC}">
              <c16:uniqueId val="{00000004-9235-4942-AB3D-18583088045C}"/>
            </c:ext>
          </c:extLst>
        </c:ser>
        <c:dLbls>
          <c:showLegendKey val="0"/>
          <c:showVal val="0"/>
          <c:showCatName val="0"/>
          <c:showSerName val="0"/>
          <c:showPercent val="0"/>
          <c:showBubbleSize val="0"/>
        </c:dLbls>
        <c:gapWidth val="150"/>
        <c:shape val="box"/>
        <c:axId val="311942528"/>
        <c:axId val="312030336"/>
        <c:axId val="0"/>
      </c:bar3DChart>
      <c:catAx>
        <c:axId val="311942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2030336"/>
        <c:crosses val="autoZero"/>
        <c:auto val="1"/>
        <c:lblAlgn val="ctr"/>
        <c:lblOffset val="100"/>
        <c:noMultiLvlLbl val="0"/>
      </c:catAx>
      <c:valAx>
        <c:axId val="312030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942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Лист1!$B$1</c:f>
              <c:strCache>
                <c:ptCount val="1"/>
                <c:pt idx="0">
                  <c:v>Accomodation services</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0.00%</c:formatCode>
                <c:ptCount val="5"/>
                <c:pt idx="0">
                  <c:v>3.4000000000000002E-2</c:v>
                </c:pt>
                <c:pt idx="1">
                  <c:v>0.184</c:v>
                </c:pt>
                <c:pt idx="2">
                  <c:v>0.187</c:v>
                </c:pt>
                <c:pt idx="3">
                  <c:v>0.26700000000000002</c:v>
                </c:pt>
                <c:pt idx="4">
                  <c:v>0.39400000000000002</c:v>
                </c:pt>
              </c:numCache>
            </c:numRef>
          </c:val>
          <c:extLst>
            <c:ext xmlns:c16="http://schemas.microsoft.com/office/drawing/2014/chart" uri="{C3380CC4-5D6E-409C-BE32-E72D297353CC}">
              <c16:uniqueId val="{00000000-A0A5-7B41-A898-C2455865BBC6}"/>
            </c:ext>
          </c:extLst>
        </c:ser>
        <c:ser>
          <c:idx val="1"/>
          <c:order val="1"/>
          <c:tx>
            <c:strRef>
              <c:f>Лист1!$C$1</c:f>
              <c:strCache>
                <c:ptCount val="1"/>
                <c:pt idx="0">
                  <c:v>Other services</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0.00%</c:formatCode>
                <c:ptCount val="5"/>
                <c:pt idx="0">
                  <c:v>0.96599999999999997</c:v>
                </c:pt>
                <c:pt idx="1">
                  <c:v>0.81599999999999995</c:v>
                </c:pt>
                <c:pt idx="2">
                  <c:v>0.81299999999999994</c:v>
                </c:pt>
                <c:pt idx="3">
                  <c:v>0.73299999999999998</c:v>
                </c:pt>
                <c:pt idx="4">
                  <c:v>0.60599999999999998</c:v>
                </c:pt>
              </c:numCache>
            </c:numRef>
          </c:val>
          <c:extLst>
            <c:ext xmlns:c16="http://schemas.microsoft.com/office/drawing/2014/chart" uri="{C3380CC4-5D6E-409C-BE32-E72D297353CC}">
              <c16:uniqueId val="{00000001-A0A5-7B41-A898-C2455865BBC6}"/>
            </c:ext>
          </c:extLst>
        </c:ser>
        <c:dLbls>
          <c:showLegendKey val="0"/>
          <c:showVal val="0"/>
          <c:showCatName val="0"/>
          <c:showSerName val="0"/>
          <c:showPercent val="0"/>
          <c:showBubbleSize val="0"/>
        </c:dLbls>
        <c:gapWidth val="150"/>
        <c:shape val="box"/>
        <c:axId val="278537728"/>
        <c:axId val="278539264"/>
        <c:axId val="0"/>
      </c:bar3DChart>
      <c:catAx>
        <c:axId val="278537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8539264"/>
        <c:crosses val="autoZero"/>
        <c:auto val="1"/>
        <c:lblAlgn val="ctr"/>
        <c:lblOffset val="100"/>
        <c:noMultiLvlLbl val="0"/>
      </c:catAx>
      <c:valAx>
        <c:axId val="27853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85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dLbls>
            <c:dLbl>
              <c:idx val="0"/>
              <c:layout>
                <c:manualLayout>
                  <c:x val="3.7037037037037035E-2"/>
                  <c:y val="-7.142857142857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E1-8D4D-8F66-CC43707111C3}"/>
                </c:ext>
              </c:extLst>
            </c:dLbl>
            <c:dLbl>
              <c:idx val="1"/>
              <c:layout>
                <c:manualLayout>
                  <c:x val="2.083333333333333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E1-8D4D-8F66-CC43707111C3}"/>
                </c:ext>
              </c:extLst>
            </c:dLbl>
            <c:dLbl>
              <c:idx val="2"/>
              <c:layout>
                <c:manualLayout>
                  <c:x val="3.2407407407407239E-2"/>
                  <c:y val="-6.3492063492063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E1-8D4D-8F66-CC43707111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2017</c:v>
                </c:pt>
                <c:pt idx="1">
                  <c:v>2018</c:v>
                </c:pt>
                <c:pt idx="2">
                  <c:v>2019</c:v>
                </c:pt>
              </c:numCache>
            </c:numRef>
          </c:cat>
          <c:val>
            <c:numRef>
              <c:f>Лист1!$B$2:$B$4</c:f>
              <c:numCache>
                <c:formatCode>0.00%</c:formatCode>
                <c:ptCount val="3"/>
                <c:pt idx="0">
                  <c:v>1.054</c:v>
                </c:pt>
                <c:pt idx="1">
                  <c:v>1.1180000000000001</c:v>
                </c:pt>
                <c:pt idx="2" formatCode="0%">
                  <c:v>1.1399999999999999</c:v>
                </c:pt>
              </c:numCache>
            </c:numRef>
          </c:val>
          <c:extLst>
            <c:ext xmlns:c16="http://schemas.microsoft.com/office/drawing/2014/chart" uri="{C3380CC4-5D6E-409C-BE32-E72D297353CC}">
              <c16:uniqueId val="{00000003-CAE1-8D4D-8F66-CC43707111C3}"/>
            </c:ext>
          </c:extLst>
        </c:ser>
        <c:dLbls>
          <c:showLegendKey val="0"/>
          <c:showVal val="0"/>
          <c:showCatName val="0"/>
          <c:showSerName val="0"/>
          <c:showPercent val="0"/>
          <c:showBubbleSize val="0"/>
        </c:dLbls>
        <c:gapWidth val="150"/>
        <c:shape val="box"/>
        <c:axId val="293172736"/>
        <c:axId val="293174272"/>
        <c:axId val="0"/>
      </c:bar3DChart>
      <c:catAx>
        <c:axId val="293172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3174272"/>
        <c:crosses val="autoZero"/>
        <c:auto val="1"/>
        <c:lblAlgn val="ctr"/>
        <c:lblOffset val="100"/>
        <c:noMultiLvlLbl val="0"/>
      </c:catAx>
      <c:valAx>
        <c:axId val="2931742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172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Nominal share of the tourism industry in GRP,%</c:v>
                </c:pt>
              </c:strCache>
            </c:strRef>
          </c:tx>
          <c:spPr>
            <a:solidFill>
              <a:schemeClr val="accent1"/>
            </a:solidFill>
            <a:ln>
              <a:noFill/>
            </a:ln>
            <a:effectLst/>
            <a:sp3d/>
          </c:spPr>
          <c:invertIfNegative val="0"/>
          <c:dLbls>
            <c:dLbl>
              <c:idx val="0"/>
              <c:layout>
                <c:manualLayout>
                  <c:x val="1.8518518518518497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BA-EB40-B359-8FA61819CE9F}"/>
                </c:ext>
              </c:extLst>
            </c:dLbl>
            <c:dLbl>
              <c:idx val="1"/>
              <c:layout>
                <c:manualLayout>
                  <c:x val="4.6296296296296294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BA-EB40-B359-8FA61819CE9F}"/>
                </c:ext>
              </c:extLst>
            </c:dLbl>
            <c:dLbl>
              <c:idx val="2"/>
              <c:layout>
                <c:manualLayout>
                  <c:x val="9.2592592592592587E-3"/>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BA-EB40-B359-8FA61819CE9F}"/>
                </c:ext>
              </c:extLst>
            </c:dLbl>
            <c:dLbl>
              <c:idx val="3"/>
              <c:layout>
                <c:manualLayout>
                  <c:x val="1.6203703703703703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BA-EB40-B359-8FA61819CE9F}"/>
                </c:ext>
              </c:extLst>
            </c:dLbl>
            <c:dLbl>
              <c:idx val="4"/>
              <c:layout>
                <c:manualLayout>
                  <c:x val="2.3148148148148147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BA-EB40-B359-8FA61819C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0.00%</c:formatCode>
                <c:ptCount val="5"/>
                <c:pt idx="0">
                  <c:v>5.4999999999999997E-3</c:v>
                </c:pt>
                <c:pt idx="1">
                  <c:v>4.4000000000000003E-3</c:v>
                </c:pt>
                <c:pt idx="2">
                  <c:v>4.1999999999999997E-3</c:v>
                </c:pt>
                <c:pt idx="3">
                  <c:v>2.8999999999999998E-3</c:v>
                </c:pt>
                <c:pt idx="4">
                  <c:v>3.0000000000000001E-3</c:v>
                </c:pt>
              </c:numCache>
            </c:numRef>
          </c:val>
          <c:extLst>
            <c:ext xmlns:c16="http://schemas.microsoft.com/office/drawing/2014/chart" uri="{C3380CC4-5D6E-409C-BE32-E72D297353CC}">
              <c16:uniqueId val="{00000005-46BA-EB40-B359-8FA61819CE9F}"/>
            </c:ext>
          </c:extLst>
        </c:ser>
        <c:ser>
          <c:idx val="1"/>
          <c:order val="1"/>
          <c:tx>
            <c:strRef>
              <c:f>Лист1!$C$1</c:f>
              <c:strCache>
                <c:ptCount val="1"/>
                <c:pt idx="0">
                  <c:v>Real share of the tourism industry in GRP,%</c:v>
                </c:pt>
              </c:strCache>
            </c:strRef>
          </c:tx>
          <c:spPr>
            <a:solidFill>
              <a:schemeClr val="accent2"/>
            </a:solidFill>
            <a:ln>
              <a:noFill/>
            </a:ln>
            <a:effectLst/>
            <a:sp3d/>
          </c:spPr>
          <c:invertIfNegative val="0"/>
          <c:dLbls>
            <c:dLbl>
              <c:idx val="0"/>
              <c:layout>
                <c:manualLayout>
                  <c:x val="3.4722222222222224E-2"/>
                  <c:y val="-1.98412698412699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BA-EB40-B359-8FA61819CE9F}"/>
                </c:ext>
              </c:extLst>
            </c:dLbl>
            <c:dLbl>
              <c:idx val="1"/>
              <c:layout>
                <c:manualLayout>
                  <c:x val="2.0833333333333291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BA-EB40-B359-8FA61819CE9F}"/>
                </c:ext>
              </c:extLst>
            </c:dLbl>
            <c:dLbl>
              <c:idx val="2"/>
              <c:layout>
                <c:manualLayout>
                  <c:x val="2.5462962962962962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BA-EB40-B359-8FA61819CE9F}"/>
                </c:ext>
              </c:extLst>
            </c:dLbl>
            <c:dLbl>
              <c:idx val="3"/>
              <c:layout>
                <c:manualLayout>
                  <c:x val="3.2407407407407239E-2"/>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BA-EB40-B359-8FA61819CE9F}"/>
                </c:ext>
              </c:extLst>
            </c:dLbl>
            <c:dLbl>
              <c:idx val="4"/>
              <c:layout>
                <c:manualLayout>
                  <c:x val="3.9351851851851853E-2"/>
                  <c:y val="-7.9365079365078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BA-EB40-B359-8FA61819CE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0.00%</c:formatCode>
                <c:ptCount val="5"/>
                <c:pt idx="0">
                  <c:v>1.8E-3</c:v>
                </c:pt>
                <c:pt idx="1">
                  <c:v>8.9999999999999998E-4</c:v>
                </c:pt>
                <c:pt idx="2">
                  <c:v>8.9999999999999998E-4</c:v>
                </c:pt>
                <c:pt idx="3">
                  <c:v>6.9999999999999999E-4</c:v>
                </c:pt>
                <c:pt idx="4">
                  <c:v>5.9999999999999995E-4</c:v>
                </c:pt>
              </c:numCache>
            </c:numRef>
          </c:val>
          <c:extLst>
            <c:ext xmlns:c16="http://schemas.microsoft.com/office/drawing/2014/chart" uri="{C3380CC4-5D6E-409C-BE32-E72D297353CC}">
              <c16:uniqueId val="{0000000B-46BA-EB40-B359-8FA61819CE9F}"/>
            </c:ext>
          </c:extLst>
        </c:ser>
        <c:dLbls>
          <c:showLegendKey val="0"/>
          <c:showVal val="0"/>
          <c:showCatName val="0"/>
          <c:showSerName val="0"/>
          <c:showPercent val="0"/>
          <c:showBubbleSize val="0"/>
        </c:dLbls>
        <c:gapWidth val="150"/>
        <c:shape val="box"/>
        <c:axId val="292713984"/>
        <c:axId val="292715520"/>
        <c:axId val="0"/>
      </c:bar3DChart>
      <c:catAx>
        <c:axId val="2927139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715520"/>
        <c:crosses val="autoZero"/>
        <c:auto val="1"/>
        <c:lblAlgn val="ctr"/>
        <c:lblOffset val="100"/>
        <c:noMultiLvlLbl val="0"/>
      </c:catAx>
      <c:valAx>
        <c:axId val="292715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71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Nominal employment</c:v>
                </c:pt>
              </c:strCache>
            </c:strRef>
          </c:tx>
          <c:spPr>
            <a:solidFill>
              <a:schemeClr val="accent1"/>
            </a:solidFill>
            <a:ln>
              <a:noFill/>
            </a:ln>
            <a:effectLst/>
            <a:sp3d/>
          </c:spPr>
          <c:invertIfNegative val="0"/>
          <c:dLbls>
            <c:dLbl>
              <c:idx val="0"/>
              <c:layout>
                <c:manualLayout>
                  <c:x val="2.3148148148147934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76-C348-A96F-D2F40DF44F3C}"/>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76-C348-A96F-D2F40DF44F3C}"/>
                </c:ext>
              </c:extLst>
            </c:dLbl>
            <c:dLbl>
              <c:idx val="2"/>
              <c:layout>
                <c:manualLayout>
                  <c:x val="1.3888888888888805E-2"/>
                  <c:y val="-5.5555555555555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76-C348-A96F-D2F40DF44F3C}"/>
                </c:ext>
              </c:extLst>
            </c:dLbl>
            <c:dLbl>
              <c:idx val="3"/>
              <c:layout>
                <c:manualLayout>
                  <c:x val="2.0833333333333249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76-C348-A96F-D2F40DF44F3C}"/>
                </c:ext>
              </c:extLst>
            </c:dLbl>
            <c:dLbl>
              <c:idx val="4"/>
              <c:layout>
                <c:manualLayout>
                  <c:x val="2.546296296296296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76-C348-A96F-D2F40DF44F3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8600</c:v>
                </c:pt>
                <c:pt idx="1">
                  <c:v>9200</c:v>
                </c:pt>
                <c:pt idx="2">
                  <c:v>9100</c:v>
                </c:pt>
                <c:pt idx="3">
                  <c:v>8800</c:v>
                </c:pt>
                <c:pt idx="4">
                  <c:v>7800</c:v>
                </c:pt>
              </c:numCache>
            </c:numRef>
          </c:val>
          <c:extLst>
            <c:ext xmlns:c16="http://schemas.microsoft.com/office/drawing/2014/chart" uri="{C3380CC4-5D6E-409C-BE32-E72D297353CC}">
              <c16:uniqueId val="{00000005-A776-C348-A96F-D2F40DF44F3C}"/>
            </c:ext>
          </c:extLst>
        </c:ser>
        <c:ser>
          <c:idx val="1"/>
          <c:order val="1"/>
          <c:tx>
            <c:strRef>
              <c:f>Лист1!$C$1</c:f>
              <c:strCache>
                <c:ptCount val="1"/>
                <c:pt idx="0">
                  <c:v>Real employment</c:v>
                </c:pt>
              </c:strCache>
            </c:strRef>
          </c:tx>
          <c:spPr>
            <a:solidFill>
              <a:schemeClr val="accent2"/>
            </a:solidFill>
            <a:ln>
              <a:noFill/>
            </a:ln>
            <a:effectLst/>
            <a:sp3d/>
          </c:spPr>
          <c:invertIfNegative val="0"/>
          <c:dLbls>
            <c:dLbl>
              <c:idx val="0"/>
              <c:layout>
                <c:manualLayout>
                  <c:x val="3.4722222222222224E-2"/>
                  <c:y val="-4.6056419113413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76-C348-A96F-D2F40DF44F3C}"/>
                </c:ext>
              </c:extLst>
            </c:dLbl>
            <c:dLbl>
              <c:idx val="1"/>
              <c:layout>
                <c:manualLayout>
                  <c:x val="3.0092592592592508E-2"/>
                  <c:y val="-4.0299366724237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76-C348-A96F-D2F40DF44F3C}"/>
                </c:ext>
              </c:extLst>
            </c:dLbl>
            <c:dLbl>
              <c:idx val="2"/>
              <c:layout>
                <c:manualLayout>
                  <c:x val="2.5462962962962962E-2"/>
                  <c:y val="-4.0299366724237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76-C348-A96F-D2F40DF44F3C}"/>
                </c:ext>
              </c:extLst>
            </c:dLbl>
            <c:dLbl>
              <c:idx val="3"/>
              <c:layout>
                <c:manualLayout>
                  <c:x val="4.1666666666666581E-2"/>
                  <c:y val="-2.8785261945883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76-C348-A96F-D2F40DF44F3C}"/>
                </c:ext>
              </c:extLst>
            </c:dLbl>
            <c:dLbl>
              <c:idx val="4"/>
              <c:layout>
                <c:manualLayout>
                  <c:x val="3.4722222222222224E-2"/>
                  <c:y val="-5.7570523891767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76-C348-A96F-D2F40DF44F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Лист1!$C$2:$C$6</c:f>
              <c:numCache>
                <c:formatCode>0</c:formatCode>
                <c:ptCount val="5"/>
                <c:pt idx="0">
                  <c:v>2774.1935483870966</c:v>
                </c:pt>
                <c:pt idx="1">
                  <c:v>1877.5510204081631</c:v>
                </c:pt>
                <c:pt idx="2">
                  <c:v>1936.1702127659573</c:v>
                </c:pt>
                <c:pt idx="3">
                  <c:v>2125.6038647342998</c:v>
                </c:pt>
                <c:pt idx="4">
                  <c:v>1560</c:v>
                </c:pt>
              </c:numCache>
            </c:numRef>
          </c:val>
          <c:extLst>
            <c:ext xmlns:c16="http://schemas.microsoft.com/office/drawing/2014/chart" uri="{C3380CC4-5D6E-409C-BE32-E72D297353CC}">
              <c16:uniqueId val="{0000000B-A776-C348-A96F-D2F40DF44F3C}"/>
            </c:ext>
          </c:extLst>
        </c:ser>
        <c:dLbls>
          <c:showLegendKey val="0"/>
          <c:showVal val="0"/>
          <c:showCatName val="0"/>
          <c:showSerName val="0"/>
          <c:showPercent val="0"/>
          <c:showBubbleSize val="0"/>
        </c:dLbls>
        <c:gapWidth val="150"/>
        <c:shape val="box"/>
        <c:axId val="293337344"/>
        <c:axId val="310444032"/>
        <c:axId val="0"/>
      </c:bar3DChart>
      <c:catAx>
        <c:axId val="293337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0444032"/>
        <c:crosses val="autoZero"/>
        <c:auto val="1"/>
        <c:lblAlgn val="ctr"/>
        <c:lblOffset val="100"/>
        <c:noMultiLvlLbl val="0"/>
      </c:catAx>
      <c:valAx>
        <c:axId val="31044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333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2">
                <a:lumMod val="60000"/>
                <a:lumOff val="40000"/>
              </a:schemeClr>
            </a:solidFill>
            <a:ln>
              <a:noFill/>
            </a:ln>
            <a:effectLst/>
            <a:sp3d/>
          </c:spPr>
          <c:invertIfNegative val="0"/>
          <c:dLbls>
            <c:dLbl>
              <c:idx val="0"/>
              <c:layout>
                <c:manualLayout>
                  <c:x val="2.3148148148147934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85-3544-8B92-4801C557BBB2}"/>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85-3544-8B92-4801C557BBB2}"/>
                </c:ext>
              </c:extLst>
            </c:dLbl>
            <c:dLbl>
              <c:idx val="2"/>
              <c:layout>
                <c:manualLayout>
                  <c:x val="1.3888888888888805E-2"/>
                  <c:y val="-5.5555555555555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85-3544-8B92-4801C557BBB2}"/>
                </c:ext>
              </c:extLst>
            </c:dLbl>
            <c:dLbl>
              <c:idx val="3"/>
              <c:layout>
                <c:manualLayout>
                  <c:x val="2.0833333333333249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85-3544-8B92-4801C557BBB2}"/>
                </c:ext>
              </c:extLst>
            </c:dLbl>
            <c:dLbl>
              <c:idx val="4"/>
              <c:layout>
                <c:manualLayout>
                  <c:x val="2.546296296296296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85-3544-8B92-4801C557BBB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67208</c:v>
                </c:pt>
                <c:pt idx="1">
                  <c:v>75139</c:v>
                </c:pt>
                <c:pt idx="2">
                  <c:v>79567</c:v>
                </c:pt>
                <c:pt idx="3">
                  <c:v>84453</c:v>
                </c:pt>
                <c:pt idx="4">
                  <c:v>103161</c:v>
                </c:pt>
              </c:numCache>
            </c:numRef>
          </c:val>
          <c:extLst>
            <c:ext xmlns:c16="http://schemas.microsoft.com/office/drawing/2014/chart" uri="{C3380CC4-5D6E-409C-BE32-E72D297353CC}">
              <c16:uniqueId val="{00000005-A585-3544-8B92-4801C557BBB2}"/>
            </c:ext>
          </c:extLst>
        </c:ser>
        <c:dLbls>
          <c:showLegendKey val="0"/>
          <c:showVal val="0"/>
          <c:showCatName val="0"/>
          <c:showSerName val="0"/>
          <c:showPercent val="0"/>
          <c:showBubbleSize val="0"/>
        </c:dLbls>
        <c:gapWidth val="150"/>
        <c:shape val="box"/>
        <c:axId val="293219328"/>
        <c:axId val="293298944"/>
        <c:axId val="0"/>
      </c:bar3DChart>
      <c:catAx>
        <c:axId val="293219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3298944"/>
        <c:crosses val="autoZero"/>
        <c:auto val="1"/>
        <c:lblAlgn val="ctr"/>
        <c:lblOffset val="100"/>
        <c:noMultiLvlLbl val="0"/>
      </c:catAx>
      <c:valAx>
        <c:axId val="29329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3219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6">
                <a:lumMod val="60000"/>
                <a:lumOff val="40000"/>
              </a:schemeClr>
            </a:solidFill>
            <a:ln>
              <a:noFill/>
            </a:ln>
            <a:effectLst/>
            <a:sp3d/>
          </c:spPr>
          <c:invertIfNegative val="0"/>
          <c:dLbls>
            <c:dLbl>
              <c:idx val="0"/>
              <c:layout>
                <c:manualLayout>
                  <c:x val="2.3148148148147934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30-504A-A0B1-186BFBE5E8DC}"/>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30-504A-A0B1-186BFBE5E8DC}"/>
                </c:ext>
              </c:extLst>
            </c:dLbl>
            <c:dLbl>
              <c:idx val="2"/>
              <c:layout>
                <c:manualLayout>
                  <c:x val="1.3888888888888805E-2"/>
                  <c:y val="-5.5555555555555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30-504A-A0B1-186BFBE5E8DC}"/>
                </c:ext>
              </c:extLst>
            </c:dLbl>
            <c:dLbl>
              <c:idx val="3"/>
              <c:layout>
                <c:manualLayout>
                  <c:x val="2.0833333333333249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0-504A-A0B1-186BFBE5E8DC}"/>
                </c:ext>
              </c:extLst>
            </c:dLbl>
            <c:dLbl>
              <c:idx val="4"/>
              <c:layout>
                <c:manualLayout>
                  <c:x val="2.546296296296296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30-504A-A0B1-186BFBE5E8D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1115.3699999999999</c:v>
                </c:pt>
                <c:pt idx="1">
                  <c:v>942.18</c:v>
                </c:pt>
                <c:pt idx="2">
                  <c:v>1086.3800000000001</c:v>
                </c:pt>
                <c:pt idx="3">
                  <c:v>907.84</c:v>
                </c:pt>
                <c:pt idx="4">
                  <c:v>1095.44</c:v>
                </c:pt>
              </c:numCache>
            </c:numRef>
          </c:val>
          <c:extLst>
            <c:ext xmlns:c16="http://schemas.microsoft.com/office/drawing/2014/chart" uri="{C3380CC4-5D6E-409C-BE32-E72D297353CC}">
              <c16:uniqueId val="{00000005-F230-504A-A0B1-186BFBE5E8DC}"/>
            </c:ext>
          </c:extLst>
        </c:ser>
        <c:dLbls>
          <c:showLegendKey val="0"/>
          <c:showVal val="0"/>
          <c:showCatName val="0"/>
          <c:showSerName val="0"/>
          <c:showPercent val="0"/>
          <c:showBubbleSize val="0"/>
        </c:dLbls>
        <c:gapWidth val="150"/>
        <c:shape val="box"/>
        <c:axId val="310472064"/>
        <c:axId val="311739520"/>
        <c:axId val="0"/>
      </c:bar3DChart>
      <c:catAx>
        <c:axId val="310472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1739520"/>
        <c:crosses val="autoZero"/>
        <c:auto val="1"/>
        <c:lblAlgn val="ctr"/>
        <c:lblOffset val="100"/>
        <c:noMultiLvlLbl val="0"/>
      </c:catAx>
      <c:valAx>
        <c:axId val="31173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04720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bg2">
                <a:lumMod val="90000"/>
              </a:schemeClr>
            </a:solidFill>
            <a:ln>
              <a:noFill/>
            </a:ln>
            <a:effectLst/>
            <a:sp3d/>
          </c:spPr>
          <c:invertIfNegative val="0"/>
          <c:dLbls>
            <c:dLbl>
              <c:idx val="0"/>
              <c:layout>
                <c:manualLayout>
                  <c:x val="2.3148148148147934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08-5B48-BFA1-37C6EA3BB01D}"/>
                </c:ext>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08-5B48-BFA1-37C6EA3BB01D}"/>
                </c:ext>
              </c:extLst>
            </c:dLbl>
            <c:dLbl>
              <c:idx val="2"/>
              <c:layout>
                <c:manualLayout>
                  <c:x val="1.3888888888888805E-2"/>
                  <c:y val="-5.55555555555555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08-5B48-BFA1-37C6EA3BB01D}"/>
                </c:ext>
              </c:extLst>
            </c:dLbl>
            <c:dLbl>
              <c:idx val="3"/>
              <c:layout>
                <c:manualLayout>
                  <c:x val="2.0833333333333249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08-5B48-BFA1-37C6EA3BB01D}"/>
                </c:ext>
              </c:extLst>
            </c:dLbl>
            <c:dLbl>
              <c:idx val="4"/>
              <c:layout>
                <c:manualLayout>
                  <c:x val="2.5462962962962962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08-5B48-BFA1-37C6EA3BB01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2015</c:v>
                </c:pt>
                <c:pt idx="1">
                  <c:v>2016</c:v>
                </c:pt>
                <c:pt idx="2">
                  <c:v>2017</c:v>
                </c:pt>
                <c:pt idx="3">
                  <c:v>2018</c:v>
                </c:pt>
                <c:pt idx="4">
                  <c:v>2019</c:v>
                </c:pt>
              </c:numCache>
            </c:numRef>
          </c:cat>
          <c:val>
            <c:numRef>
              <c:f>Лист1!$B$2:$B$6</c:f>
              <c:numCache>
                <c:formatCode>General</c:formatCode>
                <c:ptCount val="5"/>
                <c:pt idx="0">
                  <c:v>193</c:v>
                </c:pt>
                <c:pt idx="1">
                  <c:v>215</c:v>
                </c:pt>
                <c:pt idx="2">
                  <c:v>231</c:v>
                </c:pt>
                <c:pt idx="3">
                  <c:v>235</c:v>
                </c:pt>
                <c:pt idx="4">
                  <c:v>137</c:v>
                </c:pt>
              </c:numCache>
            </c:numRef>
          </c:val>
          <c:extLst>
            <c:ext xmlns:c16="http://schemas.microsoft.com/office/drawing/2014/chart" uri="{C3380CC4-5D6E-409C-BE32-E72D297353CC}">
              <c16:uniqueId val="{00000005-A308-5B48-BFA1-37C6EA3BB01D}"/>
            </c:ext>
          </c:extLst>
        </c:ser>
        <c:dLbls>
          <c:showLegendKey val="0"/>
          <c:showVal val="0"/>
          <c:showCatName val="0"/>
          <c:showSerName val="0"/>
          <c:showPercent val="0"/>
          <c:showBubbleSize val="0"/>
        </c:dLbls>
        <c:gapWidth val="150"/>
        <c:shape val="box"/>
        <c:axId val="310554624"/>
        <c:axId val="310556160"/>
        <c:axId val="0"/>
      </c:bar3DChart>
      <c:catAx>
        <c:axId val="310554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0556160"/>
        <c:crosses val="autoZero"/>
        <c:auto val="1"/>
        <c:lblAlgn val="ctr"/>
        <c:lblOffset val="100"/>
        <c:noMultiLvlLbl val="0"/>
      </c:catAx>
      <c:valAx>
        <c:axId val="310556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0554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7DEAF-7B5A-4C5C-90E1-7F3FDB1B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5517</Words>
  <Characters>31452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12</cp:revision>
  <cp:lastPrinted>2021-01-30T06:19:00Z</cp:lastPrinted>
  <dcterms:created xsi:type="dcterms:W3CDTF">2021-03-16T22:01:00Z</dcterms:created>
  <dcterms:modified xsi:type="dcterms:W3CDTF">2021-03-27T13:04:00Z</dcterms:modified>
</cp:coreProperties>
</file>